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D7C5B" w14:textId="77777777" w:rsidR="00F375BE" w:rsidRPr="008A22AC" w:rsidRDefault="00F375BE" w:rsidP="00F375BE">
      <w:pPr>
        <w:rPr>
          <w:rFonts w:cstheme="minorHAnsi"/>
          <w:b/>
          <w:sz w:val="36"/>
          <w:szCs w:val="32"/>
        </w:rPr>
      </w:pPr>
      <w:r>
        <w:rPr>
          <w:b/>
          <w:sz w:val="36"/>
        </w:rPr>
        <w:t>Описание службы</w:t>
      </w:r>
    </w:p>
    <w:p w14:paraId="7083AE2D" w14:textId="11823414" w:rsidR="00F375BE" w:rsidRPr="008A22AC" w:rsidRDefault="00F375BE" w:rsidP="00F375BE">
      <w:pPr>
        <w:rPr>
          <w:rFonts w:cstheme="minorHAnsi"/>
          <w:b/>
          <w:sz w:val="28"/>
          <w:szCs w:val="28"/>
        </w:rPr>
      </w:pPr>
      <w:r>
        <w:rPr>
          <w:b/>
          <w:sz w:val="28"/>
        </w:rPr>
        <w:t>HCL AppScan on Cloud</w:t>
      </w:r>
    </w:p>
    <w:p w14:paraId="06BDEFD5" w14:textId="2B9BED21" w:rsidR="00F375BE" w:rsidRPr="008A22AC" w:rsidRDefault="00F375BE" w:rsidP="00F375BE">
      <w:pPr>
        <w:rPr>
          <w:rFonts w:cstheme="minorHAnsi"/>
        </w:rPr>
      </w:pPr>
      <w:r>
        <w:t xml:space="preserve">Описание службы ("Описание службы") HCL AppScan on Cloud ("HCL AppScan on Cloud" или "Облачная служба").  Дополнительные условия, регулирующие HCL AppScan on Cloud, изложены в Соглашении HCL Cloud Service ("CSA"), доступном по адресу </w:t>
      </w:r>
      <w:hyperlink r:id="rId8" w:history="1">
        <w:r>
          <w:rPr>
            <w:rStyle w:val="Hyperlink"/>
          </w:rPr>
          <w:t>https://www.hcltechsw.com/wps/portal/resources/master-agreements</w:t>
        </w:r>
      </w:hyperlink>
      <w:r>
        <w:t xml:space="preserve">.  Данное Описание службы, любые применимые Приложения, Заказы и CSA являются полным соглашением о транзакциях в рамках CSA (вместе именуемые "Соглашение"). Любые термины, написанные с заглавной буквы, используемые, но не определенные в настоящем Описании службы, должны иметь значения, указанные в CSA или других применимых документах Соглашения. </w:t>
      </w:r>
    </w:p>
    <w:p w14:paraId="71649977" w14:textId="77777777" w:rsidR="00F375BE" w:rsidRPr="008A22AC" w:rsidRDefault="00F375BE" w:rsidP="00F375BE">
      <w:pPr>
        <w:rPr>
          <w:rFonts w:cstheme="minorHAnsi"/>
          <w:b/>
          <w:sz w:val="28"/>
        </w:rPr>
      </w:pPr>
      <w:r>
        <w:rPr>
          <w:b/>
          <w:sz w:val="28"/>
        </w:rPr>
        <w:t>1. HCL AppScan on Cloud</w:t>
      </w:r>
    </w:p>
    <w:p w14:paraId="4E7D504E" w14:textId="66D66060" w:rsidR="00F375BE" w:rsidRPr="008A22AC" w:rsidRDefault="00F375BE" w:rsidP="00F375BE">
      <w:pPr>
        <w:rPr>
          <w:rFonts w:cstheme="minorHAnsi"/>
        </w:rPr>
      </w:pPr>
      <w:r>
        <w:t xml:space="preserve">HCL AppScan on Cloud предоставляет централизованный набор инструментов, с помощью которого Заказчик выявляет уязвимости безопасности (например, межсайтовые сценарии, внедрение кода SQL и утечку данных) для различных приложений. Служба включает различные типы методов сканирования безопасности приложений, каждый из которых выявляет проблемы системы безопасности в приложении. </w:t>
      </w:r>
    </w:p>
    <w:p w14:paraId="387E9A2D" w14:textId="77777777" w:rsidR="00F375BE" w:rsidRPr="008A22AC" w:rsidRDefault="00F375BE" w:rsidP="00F375BE">
      <w:pPr>
        <w:rPr>
          <w:rFonts w:cstheme="minorHAnsi"/>
        </w:rPr>
      </w:pPr>
      <w:r>
        <w:t xml:space="preserve">HCL AppScan on Cloud предоставляет приведенные ниже возможности: </w:t>
      </w:r>
    </w:p>
    <w:p w14:paraId="2619DDD5" w14:textId="77777777" w:rsidR="000E5817" w:rsidRPr="000E5817" w:rsidRDefault="79E6FFBD" w:rsidP="001939FA">
      <w:pPr>
        <w:pStyle w:val="ListParagraph"/>
        <w:numPr>
          <w:ilvl w:val="0"/>
          <w:numId w:val="3"/>
        </w:numPr>
        <w:rPr>
          <w:rFonts w:cstheme="minorHAnsi"/>
        </w:rPr>
      </w:pPr>
      <w:r>
        <w:t xml:space="preserve">Сканирование мобильных приложений на наличие уязвимостей. </w:t>
      </w:r>
    </w:p>
    <w:p w14:paraId="11A1D336" w14:textId="3064CD04" w:rsidR="00F375BE" w:rsidRPr="008A22AC" w:rsidRDefault="00F375BE" w:rsidP="001939FA">
      <w:pPr>
        <w:pStyle w:val="ListParagraph"/>
        <w:numPr>
          <w:ilvl w:val="0"/>
          <w:numId w:val="3"/>
        </w:numPr>
        <w:rPr>
          <w:rFonts w:cstheme="minorHAnsi"/>
        </w:rPr>
      </w:pPr>
      <w:r>
        <w:t>Сканирование рабочей или предварительной версии, общедоступной или частной сети, веб-сайтов и веб-служб на наличие уязвимостей с помощью тестирования безопасности с использованием динамического анализа.</w:t>
      </w:r>
    </w:p>
    <w:p w14:paraId="0830668F" w14:textId="66F7B9EE" w:rsidR="00F375BE" w:rsidRPr="008A22AC" w:rsidRDefault="00F375BE" w:rsidP="0008248F">
      <w:pPr>
        <w:pStyle w:val="ListParagraph"/>
        <w:numPr>
          <w:ilvl w:val="0"/>
          <w:numId w:val="3"/>
        </w:numPr>
        <w:rPr>
          <w:rFonts w:cstheme="minorHAnsi"/>
        </w:rPr>
      </w:pPr>
      <w:r>
        <w:t>Сканирование кода в веб-приложениях и приложениях для настольных ПК на наличие уязвимостей с помощью тестирования безопасности с использованием статического анализа.</w:t>
      </w:r>
    </w:p>
    <w:p w14:paraId="4129F5BE" w14:textId="2BB169C3" w:rsidR="006627F4" w:rsidRPr="008A22AC" w:rsidRDefault="004041E6" w:rsidP="0008248F">
      <w:pPr>
        <w:pStyle w:val="ListParagraph"/>
        <w:numPr>
          <w:ilvl w:val="0"/>
          <w:numId w:val="3"/>
        </w:numPr>
        <w:rPr>
          <w:rFonts w:cstheme="minorHAnsi"/>
        </w:rPr>
      </w:pPr>
      <w:r>
        <w:t>Анализ веб-приложений и веб-сервисов во время их выполнения для выявления уязвимостей с помощью интерактивного тестирования безопасности приложений.</w:t>
      </w:r>
    </w:p>
    <w:p w14:paraId="43DB284F" w14:textId="1A666B96" w:rsidR="00F375BE" w:rsidRPr="008A22AC" w:rsidRDefault="3B4FBCE2" w:rsidP="0008248F">
      <w:pPr>
        <w:pStyle w:val="ListParagraph"/>
        <w:numPr>
          <w:ilvl w:val="0"/>
          <w:numId w:val="3"/>
        </w:numPr>
        <w:rPr>
          <w:rFonts w:cstheme="minorHAnsi"/>
        </w:rPr>
      </w:pPr>
      <w:r>
        <w:t>Идентификация уязвимых пакетов с открытым исходным кодом, используемых в приложении, с помощью анализа состава приложения.</w:t>
      </w:r>
    </w:p>
    <w:p w14:paraId="49A6268E" w14:textId="77777777" w:rsidR="00F375BE" w:rsidRPr="008A22AC" w:rsidRDefault="00F375BE" w:rsidP="0008248F">
      <w:pPr>
        <w:pStyle w:val="ListParagraph"/>
        <w:numPr>
          <w:ilvl w:val="0"/>
          <w:numId w:val="3"/>
        </w:numPr>
        <w:rPr>
          <w:rFonts w:cstheme="minorHAnsi"/>
        </w:rPr>
      </w:pPr>
      <w:r>
        <w:t xml:space="preserve">Подробные отчеты об уязвимостях системы безопасности, включающие высокоуровневые сводки результатов и шаги по исправлению, которые могут выполнить разработчики. </w:t>
      </w:r>
    </w:p>
    <w:p w14:paraId="0621F6D9" w14:textId="77777777" w:rsidR="00F375BE" w:rsidRPr="008A22AC" w:rsidRDefault="00F375BE" w:rsidP="0008248F">
      <w:pPr>
        <w:pStyle w:val="ListParagraph"/>
        <w:numPr>
          <w:ilvl w:val="0"/>
          <w:numId w:val="3"/>
        </w:numPr>
        <w:rPr>
          <w:rFonts w:cstheme="minorHAnsi"/>
        </w:rPr>
      </w:pPr>
      <w:r>
        <w:t xml:space="preserve">Интеграция с различными платформами DevOps. </w:t>
      </w:r>
    </w:p>
    <w:p w14:paraId="1CCAF5A2" w14:textId="0B0C97DF" w:rsidR="00F375BE" w:rsidRPr="008A22AC" w:rsidRDefault="00F375BE" w:rsidP="00F375BE">
      <w:pPr>
        <w:rPr>
          <w:rFonts w:cstheme="minorHAnsi"/>
          <w:b/>
        </w:rPr>
      </w:pPr>
      <w:r>
        <w:rPr>
          <w:b/>
        </w:rPr>
        <w:t xml:space="preserve">1.1. Предложения </w:t>
      </w:r>
    </w:p>
    <w:p w14:paraId="313E14CE" w14:textId="23399E00" w:rsidR="00F375BE" w:rsidRPr="008A22AC" w:rsidRDefault="00A63664" w:rsidP="00F375BE">
      <w:pPr>
        <w:rPr>
          <w:rFonts w:cstheme="minorHAnsi"/>
        </w:rPr>
      </w:pPr>
      <w:r>
        <w:t>Заказчик может выбрать одно из доступных предложений, приведенных ниже:</w:t>
      </w:r>
    </w:p>
    <w:p w14:paraId="35B0EB38" w14:textId="77777777" w:rsidR="00F375BE" w:rsidRPr="008A22AC" w:rsidRDefault="00F375BE" w:rsidP="00F375BE">
      <w:pPr>
        <w:rPr>
          <w:rFonts w:cstheme="minorHAnsi"/>
          <w:b/>
        </w:rPr>
      </w:pPr>
      <w:r>
        <w:rPr>
          <w:b/>
        </w:rPr>
        <w:t xml:space="preserve">1.1.1. HCL AppScan Analyzer </w:t>
      </w:r>
    </w:p>
    <w:p w14:paraId="5F3C88A7" w14:textId="77777777" w:rsidR="00F375BE" w:rsidRPr="008A22AC" w:rsidRDefault="00F375BE" w:rsidP="00F375BE">
      <w:pPr>
        <w:rPr>
          <w:rFonts w:cstheme="minorHAnsi"/>
        </w:rPr>
      </w:pPr>
      <w:r>
        <w:t xml:space="preserve">HCL AppScan Analyzer можно заказать для каждого экземпляра приложения, для каждого задания (сканирования), для одновременного события (сканирования) или в качестве экземпляра параллелизма. Программа позволяет выполнять приведенные ниже типы сканирования. </w:t>
      </w:r>
    </w:p>
    <w:p w14:paraId="3053492F" w14:textId="3567DB0B" w:rsidR="00F375BE" w:rsidRPr="008A22AC" w:rsidRDefault="00F375BE" w:rsidP="0008248F">
      <w:pPr>
        <w:pStyle w:val="ListParagraph"/>
        <w:numPr>
          <w:ilvl w:val="0"/>
          <w:numId w:val="5"/>
        </w:numPr>
        <w:rPr>
          <w:rFonts w:cstheme="minorHAnsi"/>
        </w:rPr>
      </w:pPr>
      <w:r>
        <w:t>Dynamic Analyzer — тестирование предварительных или рабочих сайтов</w:t>
      </w:r>
    </w:p>
    <w:p w14:paraId="062B53BD" w14:textId="6C44F33B" w:rsidR="00F375BE" w:rsidRPr="008A22AC" w:rsidRDefault="79E6FFBD" w:rsidP="79E6FFBD">
      <w:pPr>
        <w:pStyle w:val="ListParagraph"/>
        <w:numPr>
          <w:ilvl w:val="0"/>
          <w:numId w:val="4"/>
        </w:numPr>
      </w:pPr>
      <w:r>
        <w:t xml:space="preserve">Mobile Analyzer — тестирование приложений для iOS или Android </w:t>
      </w:r>
    </w:p>
    <w:p w14:paraId="47382DF6" w14:textId="09388BF9" w:rsidR="00F375BE" w:rsidRPr="00D70E9A" w:rsidRDefault="00F375BE" w:rsidP="00D70E9A">
      <w:pPr>
        <w:pStyle w:val="ListParagraph"/>
        <w:numPr>
          <w:ilvl w:val="0"/>
          <w:numId w:val="4"/>
        </w:numPr>
        <w:rPr>
          <w:rFonts w:cstheme="minorHAnsi"/>
        </w:rPr>
      </w:pPr>
      <w:r>
        <w:t xml:space="preserve">Static Analyzer — тестовый байт или исходный код приложения </w:t>
      </w:r>
    </w:p>
    <w:p w14:paraId="4AF5E777" w14:textId="37E28C99" w:rsidR="00571A8A" w:rsidRPr="008A22AC" w:rsidRDefault="00571A8A" w:rsidP="00571A8A">
      <w:pPr>
        <w:rPr>
          <w:rFonts w:cstheme="minorHAnsi"/>
          <w:b/>
        </w:rPr>
      </w:pPr>
      <w:r>
        <w:rPr>
          <w:b/>
        </w:rPr>
        <w:t>1.1.2. HCL AppScan IAST Analyzer</w:t>
      </w:r>
    </w:p>
    <w:p w14:paraId="4B2A6DEB" w14:textId="40D16CC0" w:rsidR="00571A8A" w:rsidRPr="008A22AC" w:rsidRDefault="00571A8A" w:rsidP="00344CFD">
      <w:pPr>
        <w:rPr>
          <w:rFonts w:cstheme="minorHAnsi"/>
        </w:rPr>
      </w:pPr>
      <w:r>
        <w:t xml:space="preserve">HCL AppScan IAST Analyzer выявляет уязвимости системы безопасности при запуске веб-приложений и веб-служб. Агент IAST позволяет приложению пассивно отслеживать поведение при взаимодействии и сообщать о </w:t>
      </w:r>
      <w:r>
        <w:lastRenderedPageBreak/>
        <w:t>выявленных уязвимостях в HCL AppScan on Cloud. HCL AppScan IAST Analyzer можно заказать для каждого экземпляра приложения или для одновременного события (сканирования).</w:t>
      </w:r>
    </w:p>
    <w:p w14:paraId="53666127" w14:textId="445D08BE" w:rsidR="00F375BE" w:rsidRPr="008A22AC" w:rsidRDefault="00F375BE" w:rsidP="00F375BE">
      <w:pPr>
        <w:rPr>
          <w:rFonts w:cstheme="minorHAnsi"/>
          <w:b/>
        </w:rPr>
      </w:pPr>
      <w:r>
        <w:rPr>
          <w:b/>
        </w:rPr>
        <w:t xml:space="preserve">1.1.3. HCL AppScan Open Source Analyzer </w:t>
      </w:r>
    </w:p>
    <w:p w14:paraId="19A9E784" w14:textId="77777777" w:rsidR="00F375BE" w:rsidRPr="008A22AC" w:rsidRDefault="00F375BE" w:rsidP="00F375BE">
      <w:pPr>
        <w:rPr>
          <w:rFonts w:cstheme="minorHAnsi"/>
        </w:rPr>
      </w:pPr>
      <w:r>
        <w:t>HCL AppScan Open Source Analyzer обнаруживает и идентифицирует пакеты с открытым исходным кодом, используемые в коде приложения. Он проверяет эти пакеты на наличие уязвимостей и предоставляет рекомендации по исправлению. HCL AppScan Open Source Analyzer можно заказать для каждого экземпляра приложения, для одновременного события (сканирования) или для экземпляра параллелизма.</w:t>
      </w:r>
    </w:p>
    <w:p w14:paraId="26237E55" w14:textId="77777777" w:rsidR="00F375BE" w:rsidRPr="008A22AC" w:rsidRDefault="00F375BE" w:rsidP="00F375BE">
      <w:pPr>
        <w:rPr>
          <w:rFonts w:cstheme="minorHAnsi"/>
          <w:b/>
          <w:sz w:val="28"/>
        </w:rPr>
      </w:pPr>
      <w:r>
        <w:rPr>
          <w:b/>
          <w:sz w:val="28"/>
        </w:rPr>
        <w:t>2. Показатели оплаты</w:t>
      </w:r>
    </w:p>
    <w:p w14:paraId="3AB25261" w14:textId="77777777" w:rsidR="00F375BE" w:rsidRPr="008A22AC" w:rsidRDefault="00F375BE" w:rsidP="00F375BE">
      <w:pPr>
        <w:rPr>
          <w:rFonts w:cstheme="minorHAnsi"/>
        </w:rPr>
      </w:pPr>
      <w:r>
        <w:t xml:space="preserve">К этой облачной службе применяются приведенные ниже показатели оплаты: </w:t>
      </w:r>
    </w:p>
    <w:p w14:paraId="660F225C" w14:textId="22B4A4A6" w:rsidR="00F375BE" w:rsidRPr="008A22AC" w:rsidRDefault="00F375BE" w:rsidP="0008248F">
      <w:pPr>
        <w:pStyle w:val="ListParagraph"/>
        <w:numPr>
          <w:ilvl w:val="0"/>
          <w:numId w:val="7"/>
        </w:numPr>
        <w:rPr>
          <w:rFonts w:cstheme="minorHAnsi"/>
        </w:rPr>
      </w:pPr>
      <w:r>
        <w:rPr>
          <w:b/>
        </w:rPr>
        <w:t>Экземпляр приложения</w:t>
      </w:r>
      <w:r w:rsidRPr="008A22AC">
        <w:t xml:space="preserve"> — это копия прикладной программы с уникальным именем, подключенная к облачной службе или управляемая ей. Приложение в нескольких средах (например тестирования, разработки, промежуточного хранения или рабочей среде) или несколько экземпляров приложения в одной среде считаются отдельными экземплярами приложения. </w:t>
      </w:r>
    </w:p>
    <w:p w14:paraId="6DA61C6E" w14:textId="77777777" w:rsidR="00F375BE" w:rsidRPr="008A22AC" w:rsidRDefault="79E6FFBD" w:rsidP="79E6FFBD">
      <w:pPr>
        <w:ind w:left="720"/>
      </w:pPr>
      <w:r>
        <w:t xml:space="preserve">Для этой облачной службы экземпляры приложения являются последовательными сканированиями одного приложения, которое дополнительно определяется следующим образом: </w:t>
      </w:r>
    </w:p>
    <w:p w14:paraId="189D8F37" w14:textId="09A4933F" w:rsidR="00F375BE" w:rsidRPr="008A22AC" w:rsidRDefault="00F375BE" w:rsidP="0008248F">
      <w:pPr>
        <w:pStyle w:val="ListParagraph"/>
        <w:numPr>
          <w:ilvl w:val="0"/>
          <w:numId w:val="6"/>
        </w:numPr>
        <w:rPr>
          <w:rFonts w:cstheme="minorHAnsi"/>
        </w:rPr>
      </w:pPr>
      <w:r>
        <w:t xml:space="preserve">Для динамического тестирования: Веб-сайт или веб-сервис с общедоступным или закрытым URL-адресом. Каждый экземпляр приложения дает право на сайт размером до 5000 страниц в одном домене. </w:t>
      </w:r>
    </w:p>
    <w:p w14:paraId="6F8BF024" w14:textId="77777777" w:rsidR="00F375BE" w:rsidRPr="008A22AC" w:rsidRDefault="00F375BE" w:rsidP="0008248F">
      <w:pPr>
        <w:pStyle w:val="ListParagraph"/>
        <w:numPr>
          <w:ilvl w:val="0"/>
          <w:numId w:val="6"/>
        </w:numPr>
        <w:rPr>
          <w:rFonts w:cstheme="minorHAnsi"/>
        </w:rPr>
      </w:pPr>
      <w:r>
        <w:t xml:space="preserve">Для статического тестирования: блок кода, созданный для одной исполняемой среды. Каждый экземпляр приложения дает право на сканирование единиц кода, содержащих до 1 000 000 строк. </w:t>
      </w:r>
    </w:p>
    <w:p w14:paraId="66889A00" w14:textId="77777777" w:rsidR="00F375BE" w:rsidRPr="008A22AC" w:rsidRDefault="00F375BE" w:rsidP="0008248F">
      <w:pPr>
        <w:pStyle w:val="ListParagraph"/>
        <w:numPr>
          <w:ilvl w:val="0"/>
          <w:numId w:val="6"/>
        </w:numPr>
        <w:rPr>
          <w:rFonts w:cstheme="minorHAnsi"/>
        </w:rPr>
      </w:pPr>
      <w:r>
        <w:t xml:space="preserve">Для тестирования на мобильных устройствах: блок двоичного кода, который может быть выполнен на мобильном устройстве. На каждой отдельной мобильной платформе (например, iOS и Android) используются разные экземпляры приложения. </w:t>
      </w:r>
    </w:p>
    <w:p w14:paraId="2188D4D5" w14:textId="6EC3DA5A" w:rsidR="00F375BE" w:rsidRDefault="00F375BE" w:rsidP="0008248F">
      <w:pPr>
        <w:pStyle w:val="ListParagraph"/>
        <w:numPr>
          <w:ilvl w:val="0"/>
          <w:numId w:val="6"/>
        </w:numPr>
        <w:rPr>
          <w:rFonts w:cstheme="minorHAnsi"/>
        </w:rPr>
      </w:pPr>
      <w:r>
        <w:t xml:space="preserve">Для тестирования открытого исходного кода: блок кода, созданный для одной исполняемой среды. Каждый экземпляр приложения дает право на сканирование единиц кода, содержащих до 1 000 000 строк. </w:t>
      </w:r>
    </w:p>
    <w:p w14:paraId="6A9C9A24" w14:textId="4D95DF4E" w:rsidR="005F4095" w:rsidRPr="00D70E9A" w:rsidRDefault="005F4095" w:rsidP="00D70E9A">
      <w:pPr>
        <w:pStyle w:val="ListParagraph"/>
        <w:numPr>
          <w:ilvl w:val="0"/>
          <w:numId w:val="6"/>
        </w:numPr>
        <w:rPr>
          <w:rFonts w:cstheme="minorHAnsi"/>
        </w:rPr>
      </w:pPr>
      <w:r>
        <w:t xml:space="preserve">Для интерактивного тестирования: Веб-сайт или веб-сервис с общедоступным или закрытым URL-адресом. </w:t>
      </w:r>
    </w:p>
    <w:p w14:paraId="51E621C3" w14:textId="074D42B1" w:rsidR="00AE12F3" w:rsidRPr="008A22AC" w:rsidRDefault="00AE12F3" w:rsidP="00AE12F3">
      <w:pPr>
        <w:pStyle w:val="ListParagraph"/>
        <w:ind w:left="1440"/>
        <w:rPr>
          <w:rFonts w:cstheme="minorHAnsi"/>
        </w:rPr>
      </w:pPr>
    </w:p>
    <w:p w14:paraId="2224F690" w14:textId="0E703C5F" w:rsidR="00F375BE" w:rsidRPr="008A22AC" w:rsidRDefault="00F375BE" w:rsidP="0008248F">
      <w:pPr>
        <w:pStyle w:val="ListParagraph"/>
        <w:numPr>
          <w:ilvl w:val="0"/>
          <w:numId w:val="6"/>
        </w:numPr>
        <w:ind w:left="720"/>
        <w:rPr>
          <w:rFonts w:cstheme="minorHAnsi"/>
        </w:rPr>
      </w:pPr>
      <w:r>
        <w:rPr>
          <w:b/>
        </w:rPr>
        <w:t>Одновременные события</w:t>
      </w:r>
      <w:r>
        <w:t xml:space="preserve"> — это общее число одновременных вхождений конкретного события, которое обрабатывается или связано с использованием облачной службы.</w:t>
      </w:r>
    </w:p>
    <w:p w14:paraId="7F13C721" w14:textId="4DFA74A3" w:rsidR="00F375BE" w:rsidRPr="008A22AC" w:rsidRDefault="00F375BE" w:rsidP="0008248F">
      <w:pPr>
        <w:pStyle w:val="ListParagraph"/>
        <w:numPr>
          <w:ilvl w:val="0"/>
          <w:numId w:val="6"/>
        </w:numPr>
        <w:ind w:left="720"/>
        <w:rPr>
          <w:rFonts w:cstheme="minorHAnsi"/>
        </w:rPr>
      </w:pPr>
      <w:r>
        <w:rPr>
          <w:b/>
        </w:rPr>
        <w:t>Экземпляр параллелизма</w:t>
      </w:r>
      <w:r>
        <w:t xml:space="preserve"> — это каждый доступ к конкретной конфигурации облачной службы. Все разрешения экземпляра параллелизма не ограничены числом выполненных заданий или экземпляров приложения (подключенных приложений), при условии, что число одновременных событий в любой момент времени не превышает общее число одновременных разрешений для экземпляра параллелизма. </w:t>
      </w:r>
    </w:p>
    <w:p w14:paraId="34CB2E81" w14:textId="53EEEAC2" w:rsidR="004435A8" w:rsidRPr="008A22AC" w:rsidRDefault="00F375BE" w:rsidP="0008248F">
      <w:pPr>
        <w:pStyle w:val="ListParagraph"/>
        <w:numPr>
          <w:ilvl w:val="0"/>
          <w:numId w:val="6"/>
        </w:numPr>
        <w:ind w:left="720"/>
        <w:rPr>
          <w:rFonts w:cstheme="minorHAnsi"/>
        </w:rPr>
      </w:pPr>
      <w:r>
        <w:rPr>
          <w:b/>
        </w:rPr>
        <w:t>Задание</w:t>
      </w:r>
      <w:r>
        <w:t xml:space="preserve"> — это объект в облачной службе, который невозможно дополнительно разделить, и вычислительный процесс со всеми подпроцессами, которые управляются или обрабатываются облачной службой. Требуется получить достаточное число разрешений для общего числа заданий, которые обрабатываются или управляются облачной службой в течение периода измерения, указанного в заказе или другом применимом приложении.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7"/>
        <w:gridCol w:w="8533"/>
      </w:tblGrid>
      <w:tr w:rsidR="00F375BE" w:rsidRPr="008A22AC" w14:paraId="043D92A7"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71C3EBE5" w14:textId="77777777" w:rsidR="00F375BE" w:rsidRPr="008A22AC" w:rsidRDefault="00F375BE" w:rsidP="00F375BE">
            <w:pPr>
              <w:spacing w:after="0" w:line="240" w:lineRule="auto"/>
              <w:rPr>
                <w:rFonts w:eastAsia="Times New Roman" w:cstheme="minorHAnsi"/>
                <w:color w:val="212529"/>
                <w:sz w:val="18"/>
                <w:szCs w:val="18"/>
              </w:rPr>
            </w:pPr>
            <w:r>
              <w:rPr>
                <w:b/>
                <w:color w:val="212529"/>
                <w:sz w:val="18"/>
              </w:rPr>
              <w:t>AppScan для сканирования</w:t>
            </w:r>
          </w:p>
        </w:tc>
      </w:tr>
      <w:tr w:rsidR="00F375BE" w:rsidRPr="008A22AC" w14:paraId="7BA408D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492FB7DB" w14:textId="3D45CE67" w:rsidR="00F375BE" w:rsidRPr="008A22AC" w:rsidRDefault="00212002" w:rsidP="00F375BE">
            <w:pPr>
              <w:spacing w:after="0" w:line="240" w:lineRule="auto"/>
              <w:rPr>
                <w:rFonts w:eastAsia="Times New Roman" w:cstheme="minorHAnsi"/>
                <w:color w:val="212529"/>
                <w:sz w:val="18"/>
                <w:szCs w:val="18"/>
              </w:rPr>
            </w:pPr>
            <w:r>
              <w:rPr>
                <w:color w:val="212529"/>
                <w:sz w:val="18"/>
              </w:rPr>
              <w:t>Тип подписки</w:t>
            </w:r>
          </w:p>
        </w:tc>
        <w:tc>
          <w:tcPr>
            <w:tcW w:w="0" w:type="auto"/>
            <w:shd w:val="clear" w:color="auto" w:fill="auto"/>
            <w:tcMar>
              <w:top w:w="120" w:type="dxa"/>
              <w:left w:w="120" w:type="dxa"/>
              <w:bottom w:w="120" w:type="dxa"/>
              <w:right w:w="120" w:type="dxa"/>
            </w:tcMar>
            <w:vAlign w:val="center"/>
            <w:hideMark/>
          </w:tcPr>
          <w:p w14:paraId="46AD2653"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Описание</w:t>
            </w:r>
          </w:p>
        </w:tc>
      </w:tr>
      <w:tr w:rsidR="00F375BE" w:rsidRPr="008A22AC" w14:paraId="01D7E80E"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F49711" w14:textId="3A0C184A" w:rsidR="00F375BE" w:rsidRPr="008A22AC" w:rsidRDefault="00F375BE" w:rsidP="00F375BE">
            <w:pPr>
              <w:spacing w:after="0" w:line="240" w:lineRule="auto"/>
              <w:rPr>
                <w:rFonts w:eastAsia="Times New Roman" w:cstheme="minorHAnsi"/>
                <w:color w:val="212529"/>
                <w:sz w:val="18"/>
                <w:szCs w:val="18"/>
              </w:rPr>
            </w:pPr>
            <w:r>
              <w:rPr>
                <w:color w:val="212529"/>
                <w:sz w:val="18"/>
              </w:rPr>
              <w:lastRenderedPageBreak/>
              <w:t>ASoC_PerScan</w:t>
            </w:r>
          </w:p>
        </w:tc>
        <w:tc>
          <w:tcPr>
            <w:tcW w:w="0" w:type="auto"/>
            <w:shd w:val="clear" w:color="auto" w:fill="auto"/>
            <w:tcMar>
              <w:top w:w="120" w:type="dxa"/>
              <w:left w:w="120" w:type="dxa"/>
              <w:bottom w:w="120" w:type="dxa"/>
              <w:right w:w="120" w:type="dxa"/>
            </w:tcMar>
            <w:vAlign w:val="center"/>
            <w:hideMark/>
          </w:tcPr>
          <w:p w14:paraId="68545B63" w14:textId="02F7F671"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Обеспечивает одно сканирование (которое должно считаться заданием) приложения с помощью любой из этих технологий сканирования (Static Analyzer, Dynamic Analyzer или Mobile Analyzer).</w:t>
            </w:r>
          </w:p>
          <w:p w14:paraId="0742DA9B" w14:textId="609E0491"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 xml:space="preserve">Приобретенные сканирования необходимо использовать в течение двенадцати (12) месяцев с даты покупки, после чего их срок действия истекает без возможности возврата денег. Время сканирования не ограничено; сканирования будут выполняться до их полного завершения. </w:t>
            </w:r>
          </w:p>
          <w:p w14:paraId="2AC92688" w14:textId="08480573"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Ограничено тремя (З) заданиями за раз.</w:t>
            </w:r>
          </w:p>
        </w:tc>
      </w:tr>
      <w:tr w:rsidR="00F375BE" w:rsidRPr="008A22AC" w14:paraId="146F14C8"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2EE20D9" w14:textId="77777777" w:rsidR="00F375BE" w:rsidRPr="008A22AC" w:rsidRDefault="00F375BE" w:rsidP="00F375BE">
            <w:pPr>
              <w:spacing w:after="0" w:line="240" w:lineRule="auto"/>
              <w:rPr>
                <w:rFonts w:eastAsia="Times New Roman" w:cstheme="minorHAnsi"/>
                <w:color w:val="212529"/>
                <w:sz w:val="18"/>
                <w:szCs w:val="18"/>
              </w:rPr>
            </w:pPr>
            <w:r>
              <w:rPr>
                <w:b/>
                <w:color w:val="212529"/>
                <w:sz w:val="18"/>
              </w:rPr>
              <w:t>AppScan для приложения</w:t>
            </w:r>
          </w:p>
        </w:tc>
      </w:tr>
      <w:tr w:rsidR="00F375BE" w:rsidRPr="008A22AC" w14:paraId="7673FD3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047CEF03" w14:textId="7D0CA4AC" w:rsidR="00F375BE" w:rsidRPr="008A22AC" w:rsidRDefault="00212002" w:rsidP="00F375BE">
            <w:pPr>
              <w:spacing w:after="0" w:line="240" w:lineRule="auto"/>
              <w:rPr>
                <w:rFonts w:eastAsia="Times New Roman" w:cstheme="minorHAnsi"/>
                <w:color w:val="212529"/>
                <w:sz w:val="18"/>
                <w:szCs w:val="18"/>
              </w:rPr>
            </w:pPr>
            <w:r>
              <w:rPr>
                <w:color w:val="212529"/>
                <w:sz w:val="18"/>
              </w:rPr>
              <w:t>Тип подписки</w:t>
            </w:r>
          </w:p>
        </w:tc>
        <w:tc>
          <w:tcPr>
            <w:tcW w:w="0" w:type="auto"/>
            <w:shd w:val="clear" w:color="auto" w:fill="auto"/>
            <w:tcMar>
              <w:top w:w="120" w:type="dxa"/>
              <w:left w:w="120" w:type="dxa"/>
              <w:bottom w:w="120" w:type="dxa"/>
              <w:right w:w="120" w:type="dxa"/>
            </w:tcMar>
            <w:vAlign w:val="center"/>
            <w:hideMark/>
          </w:tcPr>
          <w:p w14:paraId="47E9FBF7"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Описание</w:t>
            </w:r>
          </w:p>
        </w:tc>
      </w:tr>
      <w:tr w:rsidR="00F375BE" w:rsidRPr="008A22AC" w14:paraId="30DB432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C5C939" w14:textId="691659DC" w:rsidR="00F375BE" w:rsidRPr="008A22AC" w:rsidRDefault="00F375BE" w:rsidP="00F375BE">
            <w:pPr>
              <w:spacing w:after="0" w:line="240" w:lineRule="auto"/>
              <w:rPr>
                <w:rFonts w:eastAsia="Times New Roman" w:cstheme="minorHAnsi"/>
                <w:color w:val="212529"/>
                <w:sz w:val="18"/>
                <w:szCs w:val="18"/>
              </w:rPr>
            </w:pPr>
            <w:r>
              <w:rPr>
                <w:color w:val="212529"/>
                <w:sz w:val="18"/>
              </w:rPr>
              <w:t>ASoC_PerApplication</w:t>
            </w:r>
          </w:p>
        </w:tc>
        <w:tc>
          <w:tcPr>
            <w:tcW w:w="0" w:type="auto"/>
            <w:shd w:val="clear" w:color="auto" w:fill="auto"/>
            <w:tcMar>
              <w:top w:w="120" w:type="dxa"/>
              <w:left w:w="120" w:type="dxa"/>
              <w:bottom w:w="120" w:type="dxa"/>
              <w:right w:w="120" w:type="dxa"/>
            </w:tcMar>
            <w:vAlign w:val="center"/>
            <w:hideMark/>
          </w:tcPr>
          <w:p w14:paraId="70C569FE" w14:textId="6453D94E" w:rsidR="00F375BE" w:rsidRPr="008A22AC" w:rsidRDefault="79E6FFBD" w:rsidP="79E6FFBD">
            <w:pPr>
              <w:spacing w:after="100" w:afterAutospacing="1" w:line="240" w:lineRule="auto"/>
              <w:rPr>
                <w:rFonts w:eastAsia="Times New Roman"/>
                <w:color w:val="212529"/>
                <w:sz w:val="18"/>
                <w:szCs w:val="18"/>
              </w:rPr>
            </w:pPr>
            <w:r>
              <w:rPr>
                <w:color w:val="212529"/>
                <w:sz w:val="18"/>
              </w:rPr>
              <w:t>Годовая подписка, обеспечивающая неограниченное сканирование приложения ("Экземпляр приложения") с помощью любой из этих технологий (Static Analyzer, Dynamic Analyzer или Mobile Analyzer) в зависимости от приложения.</w:t>
            </w:r>
          </w:p>
          <w:p w14:paraId="608030C1" w14:textId="60F73F66"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Ограничено одним (1) заданием за раз.</w:t>
            </w:r>
          </w:p>
        </w:tc>
      </w:tr>
      <w:tr w:rsidR="00F375BE" w:rsidRPr="008A22AC" w14:paraId="5E3BDA3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6AB8C8D" w14:textId="77777777" w:rsidR="00F375BE" w:rsidRPr="008A22AC" w:rsidRDefault="00F375BE" w:rsidP="00F375BE">
            <w:pPr>
              <w:spacing w:after="0" w:line="240" w:lineRule="auto"/>
              <w:rPr>
                <w:rFonts w:eastAsia="Times New Roman" w:cstheme="minorHAnsi"/>
                <w:color w:val="212529"/>
                <w:sz w:val="18"/>
                <w:szCs w:val="18"/>
              </w:rPr>
            </w:pPr>
            <w:r>
              <w:rPr>
                <w:b/>
                <w:color w:val="212529"/>
                <w:sz w:val="18"/>
              </w:rPr>
              <w:t xml:space="preserve">Цены неограниченных вариантов подписки на AppScan </w:t>
            </w:r>
          </w:p>
        </w:tc>
      </w:tr>
      <w:tr w:rsidR="00F375BE" w:rsidRPr="008A22AC" w14:paraId="7A12176D"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92F0D0E" w14:textId="19824509" w:rsidR="00F375BE" w:rsidRPr="008A22AC" w:rsidRDefault="00212002" w:rsidP="00F375BE">
            <w:pPr>
              <w:spacing w:after="0" w:line="240" w:lineRule="auto"/>
              <w:rPr>
                <w:rFonts w:eastAsia="Times New Roman" w:cstheme="minorHAnsi"/>
                <w:color w:val="212529"/>
                <w:sz w:val="18"/>
                <w:szCs w:val="18"/>
              </w:rPr>
            </w:pPr>
            <w:r>
              <w:rPr>
                <w:color w:val="212529"/>
                <w:sz w:val="18"/>
              </w:rPr>
              <w:t>Тип подписки</w:t>
            </w:r>
          </w:p>
        </w:tc>
        <w:tc>
          <w:tcPr>
            <w:tcW w:w="0" w:type="auto"/>
            <w:shd w:val="clear" w:color="auto" w:fill="auto"/>
            <w:tcMar>
              <w:top w:w="120" w:type="dxa"/>
              <w:left w:w="120" w:type="dxa"/>
              <w:bottom w:w="120" w:type="dxa"/>
              <w:right w:w="120" w:type="dxa"/>
            </w:tcMar>
            <w:vAlign w:val="center"/>
            <w:hideMark/>
          </w:tcPr>
          <w:p w14:paraId="5D1497D8"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Описание</w:t>
            </w:r>
          </w:p>
        </w:tc>
      </w:tr>
      <w:tr w:rsidR="00F375BE" w:rsidRPr="008A22AC" w14:paraId="663C8932"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2319A843" w14:textId="3F623AE4" w:rsidR="00F375BE" w:rsidRPr="008A22AC" w:rsidRDefault="00F375BE" w:rsidP="00F375BE">
            <w:pPr>
              <w:spacing w:after="0" w:line="240" w:lineRule="auto"/>
              <w:rPr>
                <w:rFonts w:eastAsia="Times New Roman" w:cstheme="minorHAnsi"/>
                <w:color w:val="212529"/>
                <w:sz w:val="18"/>
                <w:szCs w:val="18"/>
              </w:rPr>
            </w:pPr>
            <w:r>
              <w:rPr>
                <w:color w:val="212529"/>
                <w:sz w:val="18"/>
              </w:rPr>
              <w:t>AsoC_PerConcurrent</w:t>
            </w:r>
          </w:p>
        </w:tc>
        <w:tc>
          <w:tcPr>
            <w:tcW w:w="0" w:type="auto"/>
            <w:shd w:val="clear" w:color="auto" w:fill="auto"/>
            <w:tcMar>
              <w:top w:w="120" w:type="dxa"/>
              <w:left w:w="120" w:type="dxa"/>
              <w:bottom w:w="120" w:type="dxa"/>
              <w:right w:w="120" w:type="dxa"/>
            </w:tcMar>
            <w:vAlign w:val="center"/>
            <w:hideMark/>
          </w:tcPr>
          <w:p w14:paraId="2A58C8F7" w14:textId="3654D1BF"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Годовая подписка, обеспечивающая сканирование любого приложения с помощью любой из этих технологий (Static Analyzer, Dynamic Analyzer или Mobile Analyzer).</w:t>
            </w:r>
          </w:p>
          <w:p w14:paraId="2B226F2B" w14:textId="353F0ECF"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 xml:space="preserve">Ограничено одним (1) выполняемым заданием для каждого разрешения на одновременное сканирование. </w:t>
            </w:r>
          </w:p>
          <w:p w14:paraId="630F8A61" w14:textId="77777777"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(Экземпляр параллелизма "1")</w:t>
            </w:r>
          </w:p>
        </w:tc>
      </w:tr>
      <w:tr w:rsidR="00F375BE" w:rsidRPr="008A22AC" w14:paraId="0AAE3887"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B683AD3" w14:textId="24EBFE0B" w:rsidR="00F375BE" w:rsidRPr="008A22AC" w:rsidRDefault="00F375BE" w:rsidP="00F375BE">
            <w:pPr>
              <w:spacing w:after="0" w:line="240" w:lineRule="auto"/>
              <w:rPr>
                <w:rFonts w:eastAsia="Times New Roman" w:cstheme="minorHAnsi"/>
                <w:color w:val="212529"/>
                <w:sz w:val="18"/>
                <w:szCs w:val="18"/>
              </w:rPr>
            </w:pPr>
            <w:r>
              <w:rPr>
                <w:color w:val="212529"/>
                <w:sz w:val="18"/>
              </w:rPr>
              <w:t xml:space="preserve">ASoC Premium </w:t>
            </w:r>
          </w:p>
        </w:tc>
        <w:tc>
          <w:tcPr>
            <w:tcW w:w="0" w:type="auto"/>
            <w:shd w:val="clear" w:color="auto" w:fill="auto"/>
            <w:tcMar>
              <w:top w:w="120" w:type="dxa"/>
              <w:left w:w="120" w:type="dxa"/>
              <w:bottom w:w="120" w:type="dxa"/>
              <w:right w:w="120" w:type="dxa"/>
            </w:tcMar>
            <w:vAlign w:val="center"/>
            <w:hideMark/>
          </w:tcPr>
          <w:p w14:paraId="28A58D91" w14:textId="677B8B51"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Годовая подписка обеспечивает до десяти (10) одновременных сканирований любого приложения с помощью любой из этих технологий (Static Analyzer, Dynamic Analyzer или Mobile Analyzer).</w:t>
            </w:r>
          </w:p>
          <w:p w14:paraId="7234B024" w14:textId="088E9503"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Ограничено десятью (10) выполняемыми заданиями для каждого разрешения "Premium".</w:t>
            </w:r>
          </w:p>
          <w:p w14:paraId="6A564552" w14:textId="77777777"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(Экземпляр параллелизма "10")</w:t>
            </w:r>
          </w:p>
        </w:tc>
      </w:tr>
      <w:tr w:rsidR="00F375BE" w:rsidRPr="008A22AC" w14:paraId="24E33E9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8BB4F6F" w14:textId="3F07586E" w:rsidR="00F375BE" w:rsidRPr="008A22AC" w:rsidRDefault="00F375BE" w:rsidP="00F375BE">
            <w:pPr>
              <w:spacing w:after="0" w:line="240" w:lineRule="auto"/>
              <w:rPr>
                <w:rFonts w:eastAsia="Times New Roman" w:cstheme="minorHAnsi"/>
                <w:color w:val="212529"/>
                <w:sz w:val="18"/>
                <w:szCs w:val="18"/>
              </w:rPr>
            </w:pPr>
            <w:r>
              <w:rPr>
                <w:color w:val="212529"/>
                <w:sz w:val="18"/>
              </w:rPr>
              <w:t xml:space="preserve">Подписки ASoC_PerConcurrent и ASoC_Premium можно объединить согласно требованиям клиента к параллелизму. </w:t>
            </w:r>
          </w:p>
        </w:tc>
      </w:tr>
      <w:tr w:rsidR="00D73CCA" w:rsidRPr="008A22AC" w14:paraId="287315BB"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8D1172F" w14:textId="297DF978" w:rsidR="00D73CCA" w:rsidRPr="008A22AC" w:rsidRDefault="00D73CCA" w:rsidP="002C0146">
            <w:pPr>
              <w:spacing w:after="0" w:line="240" w:lineRule="auto"/>
              <w:rPr>
                <w:rFonts w:eastAsia="Times New Roman" w:cstheme="minorHAnsi"/>
                <w:color w:val="212529"/>
                <w:sz w:val="18"/>
                <w:szCs w:val="18"/>
              </w:rPr>
            </w:pPr>
            <w:r>
              <w:rPr>
                <w:b/>
                <w:color w:val="212529"/>
                <w:sz w:val="18"/>
              </w:rPr>
              <w:t>AppScan IAST Analyzer для приложения</w:t>
            </w:r>
          </w:p>
        </w:tc>
      </w:tr>
      <w:tr w:rsidR="00D73CCA" w:rsidRPr="008A22AC" w14:paraId="0F65E90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2156E7D" w14:textId="4F27E753" w:rsidR="00D73CCA" w:rsidRPr="008A22AC" w:rsidRDefault="00212002" w:rsidP="002C0146">
            <w:pPr>
              <w:spacing w:after="0" w:line="240" w:lineRule="auto"/>
              <w:rPr>
                <w:rFonts w:eastAsia="Times New Roman" w:cstheme="minorHAnsi"/>
                <w:color w:val="212529"/>
                <w:sz w:val="18"/>
                <w:szCs w:val="18"/>
              </w:rPr>
            </w:pPr>
            <w:r>
              <w:rPr>
                <w:color w:val="212529"/>
                <w:sz w:val="18"/>
              </w:rPr>
              <w:t>Тип подписки</w:t>
            </w:r>
          </w:p>
        </w:tc>
        <w:tc>
          <w:tcPr>
            <w:tcW w:w="0" w:type="auto"/>
            <w:shd w:val="clear" w:color="auto" w:fill="auto"/>
            <w:tcMar>
              <w:top w:w="120" w:type="dxa"/>
              <w:left w:w="120" w:type="dxa"/>
              <w:bottom w:w="120" w:type="dxa"/>
              <w:right w:w="120" w:type="dxa"/>
            </w:tcMar>
            <w:vAlign w:val="center"/>
            <w:hideMark/>
          </w:tcPr>
          <w:p w14:paraId="6B3C9D28" w14:textId="77777777" w:rsidR="00D73CCA" w:rsidRPr="008A22AC" w:rsidRDefault="00D73CCA" w:rsidP="002C0146">
            <w:pPr>
              <w:spacing w:after="0" w:line="240" w:lineRule="auto"/>
              <w:rPr>
                <w:rFonts w:eastAsia="Times New Roman" w:cstheme="minorHAnsi"/>
                <w:color w:val="212529"/>
                <w:sz w:val="18"/>
                <w:szCs w:val="18"/>
              </w:rPr>
            </w:pPr>
            <w:r>
              <w:rPr>
                <w:color w:val="212529"/>
                <w:sz w:val="18"/>
              </w:rPr>
              <w:t>Описание</w:t>
            </w:r>
          </w:p>
        </w:tc>
      </w:tr>
      <w:tr w:rsidR="00D73CCA" w:rsidRPr="008A22AC" w14:paraId="1AF0A619"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3A8FE11" w14:textId="48E249F9" w:rsidR="00D73CCA" w:rsidRPr="008A22AC" w:rsidRDefault="00D73CCA" w:rsidP="002C0146">
            <w:pPr>
              <w:spacing w:after="0" w:line="240" w:lineRule="auto"/>
              <w:rPr>
                <w:rFonts w:eastAsia="Times New Roman" w:cstheme="minorHAnsi"/>
                <w:color w:val="212529"/>
                <w:sz w:val="18"/>
                <w:szCs w:val="18"/>
              </w:rPr>
            </w:pPr>
            <w:r>
              <w:rPr>
                <w:color w:val="212529"/>
                <w:sz w:val="18"/>
              </w:rPr>
              <w:t>ASoC_IAST_PerApplication</w:t>
            </w:r>
          </w:p>
        </w:tc>
        <w:tc>
          <w:tcPr>
            <w:tcW w:w="0" w:type="auto"/>
            <w:shd w:val="clear" w:color="auto" w:fill="auto"/>
            <w:tcMar>
              <w:top w:w="120" w:type="dxa"/>
              <w:left w:w="120" w:type="dxa"/>
              <w:bottom w:w="120" w:type="dxa"/>
              <w:right w:w="120" w:type="dxa"/>
            </w:tcMar>
            <w:vAlign w:val="center"/>
            <w:hideMark/>
          </w:tcPr>
          <w:p w14:paraId="1527B42F" w14:textId="2C3CA1BC" w:rsidR="00D73CCA" w:rsidRPr="008A22AC" w:rsidRDefault="00D73CCA" w:rsidP="002C0146">
            <w:pPr>
              <w:spacing w:after="100" w:afterAutospacing="1" w:line="240" w:lineRule="auto"/>
              <w:rPr>
                <w:rFonts w:eastAsia="Times New Roman" w:cstheme="minorHAnsi"/>
                <w:color w:val="212529"/>
                <w:sz w:val="18"/>
                <w:szCs w:val="18"/>
              </w:rPr>
            </w:pPr>
            <w:r>
              <w:rPr>
                <w:color w:val="212529"/>
                <w:sz w:val="18"/>
              </w:rPr>
              <w:t>Годовая подписка, обеспечивающая неограниченное сканирование IAST одного (1) приложения ("Экземпляр приложения").</w:t>
            </w:r>
          </w:p>
          <w:p w14:paraId="2F383908" w14:textId="794AB709" w:rsidR="00D73CCA" w:rsidRPr="008A22AC" w:rsidRDefault="00D73CCA" w:rsidP="002C0146">
            <w:pPr>
              <w:spacing w:after="100" w:afterAutospacing="1" w:line="240" w:lineRule="auto"/>
              <w:rPr>
                <w:rFonts w:eastAsia="Times New Roman" w:cstheme="minorHAnsi"/>
                <w:color w:val="212529"/>
                <w:sz w:val="18"/>
                <w:szCs w:val="18"/>
              </w:rPr>
            </w:pPr>
            <w:r>
              <w:rPr>
                <w:color w:val="212529"/>
                <w:sz w:val="18"/>
              </w:rPr>
              <w:t>Ограничено одним (1) заданием IAST за раз.</w:t>
            </w:r>
          </w:p>
        </w:tc>
      </w:tr>
      <w:tr w:rsidR="00D73CCA" w:rsidRPr="008A22AC" w14:paraId="10E90D30"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D20DDC8" w14:textId="538EB5D0" w:rsidR="00D73CCA" w:rsidRPr="008A22AC" w:rsidRDefault="00D73CCA" w:rsidP="002C0146">
            <w:pPr>
              <w:spacing w:after="0" w:line="240" w:lineRule="auto"/>
              <w:rPr>
                <w:rFonts w:eastAsia="Times New Roman" w:cstheme="minorHAnsi"/>
                <w:color w:val="212529"/>
                <w:sz w:val="18"/>
                <w:szCs w:val="18"/>
              </w:rPr>
            </w:pPr>
            <w:r>
              <w:rPr>
                <w:b/>
                <w:color w:val="212529"/>
                <w:sz w:val="18"/>
              </w:rPr>
              <w:t xml:space="preserve">Цены неограниченных вариантов подписки на AppScan IAST Analyzer </w:t>
            </w:r>
          </w:p>
        </w:tc>
      </w:tr>
      <w:tr w:rsidR="00D73CCA" w:rsidRPr="008A22AC" w14:paraId="6FF3265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7ABA182" w14:textId="2D157FB1" w:rsidR="00D73CCA" w:rsidRPr="008A22AC" w:rsidRDefault="00212002" w:rsidP="002C0146">
            <w:pPr>
              <w:spacing w:after="0" w:line="240" w:lineRule="auto"/>
              <w:rPr>
                <w:rFonts w:eastAsia="Times New Roman" w:cstheme="minorHAnsi"/>
                <w:color w:val="212529"/>
                <w:sz w:val="18"/>
                <w:szCs w:val="18"/>
              </w:rPr>
            </w:pPr>
            <w:r>
              <w:rPr>
                <w:color w:val="212529"/>
                <w:sz w:val="18"/>
              </w:rPr>
              <w:t>Тип подписки</w:t>
            </w:r>
          </w:p>
        </w:tc>
        <w:tc>
          <w:tcPr>
            <w:tcW w:w="0" w:type="auto"/>
            <w:shd w:val="clear" w:color="auto" w:fill="auto"/>
            <w:tcMar>
              <w:top w:w="120" w:type="dxa"/>
              <w:left w:w="120" w:type="dxa"/>
              <w:bottom w:w="120" w:type="dxa"/>
              <w:right w:w="120" w:type="dxa"/>
            </w:tcMar>
            <w:vAlign w:val="center"/>
            <w:hideMark/>
          </w:tcPr>
          <w:p w14:paraId="6E5FE578" w14:textId="77777777" w:rsidR="00D73CCA" w:rsidRPr="008A22AC" w:rsidRDefault="00D73CCA" w:rsidP="002C0146">
            <w:pPr>
              <w:spacing w:after="0" w:line="240" w:lineRule="auto"/>
              <w:rPr>
                <w:rFonts w:eastAsia="Times New Roman" w:cstheme="minorHAnsi"/>
                <w:color w:val="212529"/>
                <w:sz w:val="18"/>
                <w:szCs w:val="18"/>
              </w:rPr>
            </w:pPr>
            <w:r>
              <w:rPr>
                <w:color w:val="212529"/>
                <w:sz w:val="18"/>
              </w:rPr>
              <w:t>Описание</w:t>
            </w:r>
          </w:p>
        </w:tc>
      </w:tr>
      <w:tr w:rsidR="00D73CCA" w:rsidRPr="008A22AC" w14:paraId="0C9CEB7C"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132AFA" w14:textId="798A9DD0" w:rsidR="00D73CCA" w:rsidRPr="008A22AC" w:rsidRDefault="00D73CCA" w:rsidP="002C0146">
            <w:pPr>
              <w:spacing w:after="0" w:line="240" w:lineRule="auto"/>
              <w:rPr>
                <w:rFonts w:eastAsia="Times New Roman" w:cstheme="minorHAnsi"/>
                <w:color w:val="212529"/>
                <w:sz w:val="18"/>
                <w:szCs w:val="18"/>
              </w:rPr>
            </w:pPr>
            <w:r>
              <w:rPr>
                <w:color w:val="212529"/>
                <w:sz w:val="18"/>
              </w:rPr>
              <w:t>ASoC_IAST_PerConcurrent</w:t>
            </w:r>
          </w:p>
        </w:tc>
        <w:tc>
          <w:tcPr>
            <w:tcW w:w="0" w:type="auto"/>
            <w:shd w:val="clear" w:color="auto" w:fill="auto"/>
            <w:tcMar>
              <w:top w:w="120" w:type="dxa"/>
              <w:left w:w="120" w:type="dxa"/>
              <w:bottom w:w="120" w:type="dxa"/>
              <w:right w:w="120" w:type="dxa"/>
            </w:tcMar>
            <w:vAlign w:val="center"/>
            <w:hideMark/>
          </w:tcPr>
          <w:p w14:paraId="2064A266" w14:textId="531EFD37" w:rsidR="00D73CCA" w:rsidRPr="008A22AC" w:rsidRDefault="00D73CCA" w:rsidP="002C0146">
            <w:pPr>
              <w:spacing w:after="100" w:afterAutospacing="1" w:line="240" w:lineRule="auto"/>
              <w:rPr>
                <w:rFonts w:eastAsia="Times New Roman" w:cstheme="minorHAnsi"/>
                <w:color w:val="212529"/>
                <w:sz w:val="18"/>
                <w:szCs w:val="18"/>
              </w:rPr>
            </w:pPr>
            <w:r>
              <w:rPr>
                <w:color w:val="212529"/>
                <w:sz w:val="18"/>
              </w:rPr>
              <w:t>Годовая подписка на сканирование IAST любого приложения.</w:t>
            </w:r>
          </w:p>
          <w:p w14:paraId="4FB6D3E8" w14:textId="282EB9F5" w:rsidR="00D73CCA" w:rsidRPr="008A22AC" w:rsidRDefault="00D73CCA" w:rsidP="002C0146">
            <w:pPr>
              <w:spacing w:after="100" w:afterAutospacing="1" w:line="240" w:lineRule="auto"/>
              <w:rPr>
                <w:rFonts w:eastAsia="Times New Roman" w:cstheme="minorHAnsi"/>
                <w:color w:val="212529"/>
                <w:sz w:val="18"/>
                <w:szCs w:val="18"/>
              </w:rPr>
            </w:pPr>
            <w:r>
              <w:rPr>
                <w:color w:val="212529"/>
                <w:sz w:val="18"/>
              </w:rPr>
              <w:lastRenderedPageBreak/>
              <w:t>Ограничено одним (1) выполняемым заданием IAST для каждого разрешения на одновременное сканирование.</w:t>
            </w:r>
          </w:p>
          <w:p w14:paraId="33EC559B" w14:textId="23A0C04D" w:rsidR="00D73CCA" w:rsidRPr="008A22AC" w:rsidRDefault="00D73CCA" w:rsidP="002C0146">
            <w:pPr>
              <w:spacing w:after="100" w:afterAutospacing="1" w:line="240" w:lineRule="auto"/>
              <w:rPr>
                <w:rFonts w:eastAsia="Times New Roman" w:cstheme="minorHAnsi"/>
                <w:color w:val="212529"/>
                <w:sz w:val="18"/>
                <w:szCs w:val="18"/>
              </w:rPr>
            </w:pPr>
            <w:r>
              <w:rPr>
                <w:color w:val="212529"/>
                <w:sz w:val="18"/>
              </w:rPr>
              <w:t>(Экземпляр параллелизма "1")</w:t>
            </w:r>
          </w:p>
        </w:tc>
      </w:tr>
      <w:tr w:rsidR="006A7A11" w:rsidRPr="008A22AC" w14:paraId="3DBFB76B" w14:textId="77777777" w:rsidTr="79E6FFBD">
        <w:trPr>
          <w:tblCellSpacing w:w="15" w:type="dxa"/>
        </w:trPr>
        <w:tc>
          <w:tcPr>
            <w:tcW w:w="0" w:type="auto"/>
            <w:shd w:val="clear" w:color="auto" w:fill="auto"/>
            <w:tcMar>
              <w:top w:w="120" w:type="dxa"/>
              <w:left w:w="120" w:type="dxa"/>
              <w:bottom w:w="120" w:type="dxa"/>
              <w:right w:w="120" w:type="dxa"/>
            </w:tcMar>
            <w:vAlign w:val="center"/>
          </w:tcPr>
          <w:p w14:paraId="2B35B071" w14:textId="77777777" w:rsidR="006A7A11" w:rsidRPr="008A22AC" w:rsidRDefault="006A7A11" w:rsidP="00F375BE">
            <w:pPr>
              <w:spacing w:after="0" w:line="240" w:lineRule="auto"/>
              <w:rPr>
                <w:rFonts w:eastAsia="Times New Roman" w:cstheme="minorHAnsi"/>
                <w:b/>
                <w:bCs/>
                <w:color w:val="212529"/>
                <w:sz w:val="18"/>
                <w:szCs w:val="18"/>
              </w:rPr>
            </w:pPr>
          </w:p>
        </w:tc>
        <w:tc>
          <w:tcPr>
            <w:tcW w:w="0" w:type="auto"/>
            <w:shd w:val="clear" w:color="auto" w:fill="auto"/>
            <w:tcMar>
              <w:top w:w="120" w:type="dxa"/>
              <w:left w:w="120" w:type="dxa"/>
              <w:bottom w:w="120" w:type="dxa"/>
              <w:right w:w="120" w:type="dxa"/>
            </w:tcMar>
            <w:vAlign w:val="center"/>
          </w:tcPr>
          <w:p w14:paraId="45BEA4A9" w14:textId="77777777" w:rsidR="006A7A11" w:rsidRPr="008A22AC" w:rsidRDefault="006A7A11" w:rsidP="00F375BE">
            <w:pPr>
              <w:spacing w:after="0" w:line="240" w:lineRule="auto"/>
              <w:rPr>
                <w:rFonts w:eastAsia="Times New Roman" w:cstheme="minorHAnsi"/>
                <w:color w:val="212529"/>
                <w:sz w:val="18"/>
                <w:szCs w:val="18"/>
              </w:rPr>
            </w:pPr>
          </w:p>
        </w:tc>
      </w:tr>
      <w:tr w:rsidR="00251398" w:rsidRPr="008A22AC" w14:paraId="0A7C8132"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4505CC54" w14:textId="4215E0F3" w:rsidR="00251398" w:rsidRPr="008A22AC" w:rsidRDefault="00251398" w:rsidP="00F375BE">
            <w:pPr>
              <w:spacing w:after="0" w:line="240" w:lineRule="auto"/>
              <w:rPr>
                <w:rFonts w:eastAsia="Times New Roman" w:cstheme="minorHAnsi"/>
                <w:color w:val="212529"/>
                <w:sz w:val="18"/>
                <w:szCs w:val="18"/>
              </w:rPr>
            </w:pPr>
            <w:r>
              <w:rPr>
                <w:b/>
                <w:color w:val="212529"/>
                <w:sz w:val="18"/>
              </w:rPr>
              <w:t>AppScan Open Source Analyzer для приложения</w:t>
            </w:r>
          </w:p>
        </w:tc>
      </w:tr>
      <w:tr w:rsidR="00F375BE" w:rsidRPr="008A22AC" w14:paraId="5FD9632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57503FF" w14:textId="68FE0AB5" w:rsidR="00F375BE" w:rsidRPr="008A22AC" w:rsidRDefault="00212002" w:rsidP="00F375BE">
            <w:pPr>
              <w:spacing w:after="0" w:line="240" w:lineRule="auto"/>
              <w:rPr>
                <w:rFonts w:eastAsia="Times New Roman" w:cstheme="minorHAnsi"/>
                <w:color w:val="212529"/>
                <w:sz w:val="18"/>
                <w:szCs w:val="18"/>
              </w:rPr>
            </w:pPr>
            <w:r>
              <w:rPr>
                <w:color w:val="212529"/>
                <w:sz w:val="18"/>
              </w:rPr>
              <w:t>Тип подписки</w:t>
            </w:r>
          </w:p>
        </w:tc>
        <w:tc>
          <w:tcPr>
            <w:tcW w:w="0" w:type="auto"/>
            <w:shd w:val="clear" w:color="auto" w:fill="auto"/>
            <w:tcMar>
              <w:top w:w="120" w:type="dxa"/>
              <w:left w:w="120" w:type="dxa"/>
              <w:bottom w:w="120" w:type="dxa"/>
              <w:right w:w="120" w:type="dxa"/>
            </w:tcMar>
            <w:vAlign w:val="center"/>
            <w:hideMark/>
          </w:tcPr>
          <w:p w14:paraId="55274D9D"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Описание</w:t>
            </w:r>
          </w:p>
        </w:tc>
      </w:tr>
      <w:tr w:rsidR="00F375BE" w:rsidRPr="008A22AC" w14:paraId="35D8205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1BE2803" w14:textId="74EDBF8E" w:rsidR="00F375BE" w:rsidRPr="008A22AC" w:rsidRDefault="00F375BE" w:rsidP="00F375BE">
            <w:pPr>
              <w:spacing w:after="0" w:line="240" w:lineRule="auto"/>
              <w:rPr>
                <w:rFonts w:eastAsia="Times New Roman" w:cstheme="minorHAnsi"/>
                <w:color w:val="212529"/>
                <w:sz w:val="18"/>
                <w:szCs w:val="18"/>
              </w:rPr>
            </w:pPr>
            <w:r>
              <w:rPr>
                <w:color w:val="212529"/>
                <w:sz w:val="18"/>
              </w:rPr>
              <w:t>ASoC_OSA_PerApplication</w:t>
            </w:r>
          </w:p>
        </w:tc>
        <w:tc>
          <w:tcPr>
            <w:tcW w:w="0" w:type="auto"/>
            <w:shd w:val="clear" w:color="auto" w:fill="auto"/>
            <w:tcMar>
              <w:top w:w="120" w:type="dxa"/>
              <w:left w:w="120" w:type="dxa"/>
              <w:bottom w:w="120" w:type="dxa"/>
              <w:right w:w="120" w:type="dxa"/>
            </w:tcMar>
            <w:vAlign w:val="center"/>
            <w:hideMark/>
          </w:tcPr>
          <w:p w14:paraId="6711C830" w14:textId="5FDAA9D0"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Годовая подписка, обеспечивающая неограниченное сканирование открытого исходного кода одного (1) приложения ("Экземпляр приложения").</w:t>
            </w:r>
          </w:p>
          <w:p w14:paraId="3039D61F" w14:textId="3D873F27"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Ограничено одним (1) заданием за раз.</w:t>
            </w:r>
          </w:p>
        </w:tc>
      </w:tr>
      <w:tr w:rsidR="00F375BE" w:rsidRPr="008A22AC" w14:paraId="707FE24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3F5D11C7" w14:textId="77777777" w:rsidR="00F375BE" w:rsidRPr="008A22AC" w:rsidRDefault="00F375BE" w:rsidP="00F375BE">
            <w:pPr>
              <w:spacing w:after="0" w:line="240" w:lineRule="auto"/>
              <w:rPr>
                <w:rFonts w:eastAsia="Times New Roman" w:cstheme="minorHAnsi"/>
                <w:color w:val="212529"/>
                <w:sz w:val="18"/>
                <w:szCs w:val="18"/>
              </w:rPr>
            </w:pPr>
            <w:r>
              <w:rPr>
                <w:b/>
                <w:color w:val="212529"/>
                <w:sz w:val="18"/>
              </w:rPr>
              <w:t xml:space="preserve">Цены неограниченных вариантов подписки на AppScan Open Source Analyzer </w:t>
            </w:r>
          </w:p>
        </w:tc>
      </w:tr>
      <w:tr w:rsidR="00F375BE" w:rsidRPr="008A22AC" w14:paraId="0BB3421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5186F3E" w14:textId="62B17AE2" w:rsidR="00F375BE" w:rsidRPr="008A22AC" w:rsidRDefault="004B1CC4" w:rsidP="00F375BE">
            <w:pPr>
              <w:spacing w:after="0" w:line="240" w:lineRule="auto"/>
              <w:rPr>
                <w:rFonts w:eastAsia="Times New Roman" w:cstheme="minorHAnsi"/>
                <w:color w:val="212529"/>
                <w:sz w:val="18"/>
                <w:szCs w:val="18"/>
              </w:rPr>
            </w:pPr>
            <w:r>
              <w:rPr>
                <w:color w:val="212529"/>
                <w:sz w:val="18"/>
              </w:rPr>
              <w:t>Тип подписки</w:t>
            </w:r>
          </w:p>
        </w:tc>
        <w:tc>
          <w:tcPr>
            <w:tcW w:w="0" w:type="auto"/>
            <w:shd w:val="clear" w:color="auto" w:fill="auto"/>
            <w:tcMar>
              <w:top w:w="120" w:type="dxa"/>
              <w:left w:w="120" w:type="dxa"/>
              <w:bottom w:w="120" w:type="dxa"/>
              <w:right w:w="120" w:type="dxa"/>
            </w:tcMar>
            <w:vAlign w:val="center"/>
            <w:hideMark/>
          </w:tcPr>
          <w:p w14:paraId="4570993B"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Описание</w:t>
            </w:r>
          </w:p>
        </w:tc>
      </w:tr>
      <w:tr w:rsidR="00F375BE" w:rsidRPr="008A22AC" w14:paraId="7B6B32F0"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6FAC457" w14:textId="1DBF4EA9" w:rsidR="00F375BE" w:rsidRPr="008A22AC" w:rsidRDefault="00F375BE" w:rsidP="00F375BE">
            <w:pPr>
              <w:spacing w:after="0" w:line="240" w:lineRule="auto"/>
              <w:rPr>
                <w:rFonts w:eastAsia="Times New Roman" w:cstheme="minorHAnsi"/>
                <w:color w:val="212529"/>
                <w:sz w:val="18"/>
                <w:szCs w:val="18"/>
              </w:rPr>
            </w:pPr>
            <w:r>
              <w:rPr>
                <w:color w:val="212529"/>
                <w:sz w:val="18"/>
              </w:rPr>
              <w:t>ASoC_OSA_PerConcurrent</w:t>
            </w:r>
          </w:p>
        </w:tc>
        <w:tc>
          <w:tcPr>
            <w:tcW w:w="0" w:type="auto"/>
            <w:shd w:val="clear" w:color="auto" w:fill="auto"/>
            <w:tcMar>
              <w:top w:w="120" w:type="dxa"/>
              <w:left w:w="120" w:type="dxa"/>
              <w:bottom w:w="120" w:type="dxa"/>
              <w:right w:w="120" w:type="dxa"/>
            </w:tcMar>
            <w:vAlign w:val="center"/>
            <w:hideMark/>
          </w:tcPr>
          <w:p w14:paraId="0D4B3DF6" w14:textId="7D104B23"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Годовая подписка на сканирование открытого исходного кода любого приложения.</w:t>
            </w:r>
          </w:p>
          <w:p w14:paraId="1A94BFB1" w14:textId="790B22B0"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Ограничено одним (1) выполняемым заданием для каждого разрешения на одновременное сканирование.</w:t>
            </w:r>
          </w:p>
          <w:p w14:paraId="578A9B0D" w14:textId="77777777"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(Экземпляр параллелизма "1")</w:t>
            </w:r>
          </w:p>
        </w:tc>
      </w:tr>
      <w:tr w:rsidR="00F375BE" w:rsidRPr="008A22AC" w14:paraId="56DC6488"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8E0CA2"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ASoC_OSA_Premium</w:t>
            </w:r>
          </w:p>
        </w:tc>
        <w:tc>
          <w:tcPr>
            <w:tcW w:w="0" w:type="auto"/>
            <w:shd w:val="clear" w:color="auto" w:fill="auto"/>
            <w:tcMar>
              <w:top w:w="120" w:type="dxa"/>
              <w:left w:w="120" w:type="dxa"/>
              <w:bottom w:w="120" w:type="dxa"/>
              <w:right w:w="120" w:type="dxa"/>
            </w:tcMar>
            <w:vAlign w:val="center"/>
            <w:hideMark/>
          </w:tcPr>
          <w:p w14:paraId="16878EFA" w14:textId="21BFD911"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Годовая подписка обеспечивает до десяти (10) одновременных сканирований открытого исходного кода любого приложения.</w:t>
            </w:r>
          </w:p>
          <w:p w14:paraId="6984C46A" w14:textId="67ACF428"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Ограничено десятью (10) выполняемыми заданиями для каждого разрешения "Premium".</w:t>
            </w:r>
          </w:p>
          <w:p w14:paraId="25700E2C" w14:textId="77777777"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(Экземпляр параллелизма "10")</w:t>
            </w:r>
          </w:p>
        </w:tc>
      </w:tr>
      <w:tr w:rsidR="00F375BE" w:rsidRPr="008A22AC" w14:paraId="6B22260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009983C" w14:textId="77777777" w:rsidR="00F375BE" w:rsidRPr="008A22AC" w:rsidRDefault="00F375BE" w:rsidP="00F375BE">
            <w:pPr>
              <w:spacing w:after="0" w:line="240" w:lineRule="auto"/>
              <w:rPr>
                <w:rFonts w:eastAsia="Times New Roman" w:cstheme="minorHAnsi"/>
                <w:color w:val="212529"/>
                <w:sz w:val="18"/>
                <w:szCs w:val="18"/>
              </w:rPr>
            </w:pPr>
          </w:p>
        </w:tc>
      </w:tr>
    </w:tbl>
    <w:p w14:paraId="2C10F968" w14:textId="77777777" w:rsidR="008A22AC" w:rsidRDefault="008A22AC" w:rsidP="00E20421">
      <w:pPr>
        <w:rPr>
          <w:rFonts w:cstheme="minorHAnsi"/>
          <w:b/>
          <w:sz w:val="28"/>
        </w:rPr>
      </w:pPr>
    </w:p>
    <w:p w14:paraId="3EF8D83D" w14:textId="1C5961FD" w:rsidR="00E20421" w:rsidRPr="008A22AC" w:rsidRDefault="00E20421" w:rsidP="00E20421">
      <w:pPr>
        <w:rPr>
          <w:rFonts w:cstheme="minorHAnsi"/>
          <w:b/>
          <w:sz w:val="28"/>
        </w:rPr>
      </w:pPr>
      <w:r>
        <w:rPr>
          <w:b/>
          <w:sz w:val="28"/>
        </w:rPr>
        <w:t>3. Оплата и выставление счетов</w:t>
      </w:r>
    </w:p>
    <w:p w14:paraId="6B8C6E47" w14:textId="09A08E03" w:rsidR="00E20421" w:rsidRPr="008A22AC" w:rsidRDefault="00E20421" w:rsidP="00E20421">
      <w:pPr>
        <w:rPr>
          <w:rFonts w:cstheme="minorHAnsi"/>
        </w:rPr>
      </w:pPr>
      <w:r>
        <w:t xml:space="preserve">Сумма к оплате за HCL AppScan on Cloud указана в заказе. </w:t>
      </w:r>
    </w:p>
    <w:p w14:paraId="056F9CFF" w14:textId="77777777" w:rsidR="00E20421" w:rsidRPr="008A22AC" w:rsidRDefault="00E20421" w:rsidP="00E20421">
      <w:pPr>
        <w:rPr>
          <w:rFonts w:cstheme="minorHAnsi"/>
          <w:b/>
        </w:rPr>
      </w:pPr>
      <w:r>
        <w:rPr>
          <w:b/>
        </w:rPr>
        <w:t xml:space="preserve">3.1. Частичные оплаты за месяц </w:t>
      </w:r>
    </w:p>
    <w:p w14:paraId="25E69836" w14:textId="6F74C21C" w:rsidR="00E20421" w:rsidRPr="008A22AC" w:rsidRDefault="00E20421" w:rsidP="00E20421">
      <w:pPr>
        <w:rPr>
          <w:rFonts w:cstheme="minorHAnsi"/>
        </w:rPr>
      </w:pPr>
      <w:r>
        <w:t xml:space="preserve">Частичная месячная плата, указанная в заказе, может оцениваться на пропорциональной основе. </w:t>
      </w:r>
    </w:p>
    <w:p w14:paraId="1A6A2497" w14:textId="77777777" w:rsidR="00E20421" w:rsidRPr="008A22AC" w:rsidRDefault="00E20421" w:rsidP="00E20421">
      <w:pPr>
        <w:rPr>
          <w:rFonts w:cstheme="minorHAnsi"/>
          <w:b/>
        </w:rPr>
      </w:pPr>
      <w:r>
        <w:rPr>
          <w:b/>
        </w:rPr>
        <w:t xml:space="preserve">3.2. Частота выставления счетов </w:t>
      </w:r>
    </w:p>
    <w:p w14:paraId="750A6794" w14:textId="0BF43F50" w:rsidR="00E20421" w:rsidRPr="008A22AC" w:rsidRDefault="79E6FFBD" w:rsidP="79E6FFBD">
      <w:r>
        <w:t xml:space="preserve">В зависимости от выбранной частоты выставления счетов HCL выставляет инвойс Заказчику в начале срока оплаты, за исключением перерасхода и типа использования оплат, которые будут выставлены в счет задолженности. </w:t>
      </w:r>
    </w:p>
    <w:p w14:paraId="2B3497D8" w14:textId="77777777" w:rsidR="00E20421" w:rsidRPr="008A22AC" w:rsidRDefault="00E20421" w:rsidP="00E20421">
      <w:pPr>
        <w:rPr>
          <w:rFonts w:cstheme="minorHAnsi"/>
          <w:b/>
        </w:rPr>
      </w:pPr>
      <w:r>
        <w:rPr>
          <w:b/>
        </w:rPr>
        <w:t xml:space="preserve">3.3. Местонахождения полученной выгоды </w:t>
      </w:r>
    </w:p>
    <w:p w14:paraId="1BB215B5" w14:textId="11C6187F" w:rsidR="00E20421" w:rsidRPr="008A22AC" w:rsidRDefault="00E20421" w:rsidP="00E20421">
      <w:pPr>
        <w:rPr>
          <w:rFonts w:cstheme="minorHAnsi"/>
        </w:rPr>
      </w:pPr>
      <w:r>
        <w:t xml:space="preserve">В тех случаях, когда это применимо, налоги рассчитываются на основе местонахождений заказчика облачной службы. HCL будет взимать налоги на основе рабочего адреса, указанного при заказе облачной услуги, в качестве основного местонахождения полученной выгоды, если только Клиент не предоставит HCL дополнительную </w:t>
      </w:r>
      <w:r>
        <w:lastRenderedPageBreak/>
        <w:t xml:space="preserve">информацию. Заказчик несет ответственность за обновление данной информации и предоставление любых изменений в HCL. </w:t>
      </w:r>
    </w:p>
    <w:p w14:paraId="19F78B3C" w14:textId="77777777" w:rsidR="00E20421" w:rsidRPr="008A22AC" w:rsidRDefault="00E20421" w:rsidP="00E20421">
      <w:pPr>
        <w:rPr>
          <w:rFonts w:cstheme="minorHAnsi"/>
          <w:b/>
        </w:rPr>
      </w:pPr>
      <w:r>
        <w:rPr>
          <w:b/>
        </w:rPr>
        <w:t xml:space="preserve">3.4. Проверка </w:t>
      </w:r>
    </w:p>
    <w:p w14:paraId="48A54567" w14:textId="6700791C" w:rsidR="00E20421" w:rsidRPr="008A22AC" w:rsidRDefault="00A63664" w:rsidP="00E20421">
      <w:pPr>
        <w:rPr>
          <w:rFonts w:cstheme="minorHAnsi"/>
        </w:rPr>
      </w:pPr>
      <w:r>
        <w:t>Клиент будет i) вести и предоставлять по запросу записи и выходные данные системных инструментов, если это обоснованно необходимо для HCL и его независимого аудитора, чтобы проверить соблюдение заказчиком условий Соглашения, и ii) незамедлительно заказывать и оплачивать необходимые разрешения по текущим расценкам HCL и другие платежи и обязательства, определенные в результате такой проверки, как указано в инвойсе HCL. Эти обязательства по проверке соответствия остаются в силе в течение срока действия облачной службы и в течение двух лет после этого.</w:t>
      </w:r>
    </w:p>
    <w:p w14:paraId="07645AA3" w14:textId="77777777" w:rsidR="00E20421" w:rsidRPr="008A22AC" w:rsidRDefault="00E20421" w:rsidP="00E20421">
      <w:pPr>
        <w:rPr>
          <w:rFonts w:cstheme="minorHAnsi"/>
          <w:b/>
          <w:sz w:val="28"/>
        </w:rPr>
      </w:pPr>
      <w:r>
        <w:rPr>
          <w:b/>
          <w:sz w:val="28"/>
        </w:rPr>
        <w:t xml:space="preserve">4. Срок и возможности продления </w:t>
      </w:r>
    </w:p>
    <w:p w14:paraId="2FF5C701" w14:textId="6F94B2F7" w:rsidR="00E20421" w:rsidRPr="008A22AC" w:rsidRDefault="00E20421" w:rsidP="00E20421">
      <w:pPr>
        <w:rPr>
          <w:rFonts w:cstheme="minorHAnsi"/>
        </w:rPr>
      </w:pPr>
      <w:r>
        <w:t xml:space="preserve">Срок действия облачной службы начинается с даты, когда HCL уведомляет заказчика о своем доступе к облачной службе, как указано в разрешении. В разрешении будет указано, будет ли облачная служба обновляться автоматически или прекращать работу в конце срока. </w:t>
      </w:r>
    </w:p>
    <w:p w14:paraId="02E03627" w14:textId="6C89211B" w:rsidR="00E20421" w:rsidRPr="008A22AC" w:rsidRDefault="79E6FFBD" w:rsidP="79E6FFBD">
      <w:r>
        <w:t xml:space="preserve">При автоматическом продлении, если Клиент не предоставит письменное уведомление о продлении не менее чем за 30 дней до истечения срока действия, облачная служба автоматически продлевается на срок, указанный в разрешении. </w:t>
      </w:r>
    </w:p>
    <w:p w14:paraId="43F6C16E" w14:textId="77777777" w:rsidR="00E20421" w:rsidRPr="008A22AC" w:rsidRDefault="00E20421" w:rsidP="00E20421">
      <w:pPr>
        <w:rPr>
          <w:rFonts w:cstheme="minorHAnsi"/>
          <w:b/>
          <w:sz w:val="28"/>
        </w:rPr>
      </w:pPr>
      <w:r>
        <w:rPr>
          <w:b/>
          <w:sz w:val="28"/>
        </w:rPr>
        <w:t>5. Техническая поддержка</w:t>
      </w:r>
    </w:p>
    <w:p w14:paraId="6C6761B7" w14:textId="66520BAD" w:rsidR="00F375BE" w:rsidRPr="008A22AC" w:rsidRDefault="00E20421" w:rsidP="00E20421">
      <w:pPr>
        <w:rPr>
          <w:rFonts w:cstheme="minorHAnsi"/>
        </w:rPr>
      </w:pPr>
      <w:r>
        <w:t>В течение периода подписки и после того, как HCL уведомит заказчика о том, что имеется доступ к облачной службе, информация о технической поддержке доступна на текущем веб-сайте HCL, предоставленном заказчику HCL или как указано в Соглашении.</w:t>
      </w:r>
    </w:p>
    <w:tbl>
      <w:tblPr>
        <w:tblStyle w:val="TableGrid"/>
        <w:tblW w:w="0" w:type="auto"/>
        <w:tblLook w:val="04A0" w:firstRow="1" w:lastRow="0" w:firstColumn="1" w:lastColumn="0" w:noHBand="0" w:noVBand="1"/>
      </w:tblPr>
      <w:tblGrid>
        <w:gridCol w:w="1401"/>
        <w:gridCol w:w="4280"/>
        <w:gridCol w:w="2555"/>
        <w:gridCol w:w="2554"/>
      </w:tblGrid>
      <w:tr w:rsidR="00CD09E8" w:rsidRPr="008A22AC" w14:paraId="63A8C5C1" w14:textId="77777777" w:rsidTr="00CC771B">
        <w:tc>
          <w:tcPr>
            <w:tcW w:w="895" w:type="dxa"/>
          </w:tcPr>
          <w:p w14:paraId="551C91A1" w14:textId="77777777" w:rsidR="00431986" w:rsidRPr="008A22AC" w:rsidRDefault="00431986" w:rsidP="00431986">
            <w:pPr>
              <w:rPr>
                <w:rFonts w:cstheme="minorHAnsi"/>
                <w:b/>
              </w:rPr>
            </w:pPr>
            <w:r>
              <w:rPr>
                <w:b/>
              </w:rPr>
              <w:t>Серьезность</w:t>
            </w:r>
          </w:p>
          <w:p w14:paraId="440BB9E9" w14:textId="77777777" w:rsidR="00CD09E8" w:rsidRPr="008A22AC" w:rsidRDefault="00CD09E8" w:rsidP="00431986">
            <w:pPr>
              <w:rPr>
                <w:rFonts w:cstheme="minorHAnsi"/>
                <w:b/>
              </w:rPr>
            </w:pPr>
          </w:p>
        </w:tc>
        <w:tc>
          <w:tcPr>
            <w:tcW w:w="4499" w:type="dxa"/>
          </w:tcPr>
          <w:p w14:paraId="10E7F31E" w14:textId="77777777" w:rsidR="00431986" w:rsidRPr="008A22AC" w:rsidRDefault="00431986" w:rsidP="00431986">
            <w:pPr>
              <w:rPr>
                <w:rFonts w:cstheme="minorHAnsi"/>
                <w:b/>
              </w:rPr>
            </w:pPr>
            <w:r>
              <w:rPr>
                <w:b/>
              </w:rPr>
              <w:t>Определение серьезности</w:t>
            </w:r>
          </w:p>
          <w:p w14:paraId="2D6686B6" w14:textId="77777777" w:rsidR="00CD09E8" w:rsidRPr="008A22AC" w:rsidRDefault="00CD09E8" w:rsidP="00CD09E8">
            <w:pPr>
              <w:rPr>
                <w:rFonts w:cstheme="minorHAnsi"/>
                <w:b/>
              </w:rPr>
            </w:pPr>
          </w:p>
        </w:tc>
        <w:tc>
          <w:tcPr>
            <w:tcW w:w="2698" w:type="dxa"/>
          </w:tcPr>
          <w:p w14:paraId="514AD287" w14:textId="77777777" w:rsidR="00431986" w:rsidRPr="008A22AC" w:rsidRDefault="00431986" w:rsidP="00431986">
            <w:pPr>
              <w:rPr>
                <w:rFonts w:cstheme="minorHAnsi"/>
                <w:b/>
              </w:rPr>
            </w:pPr>
            <w:r>
              <w:rPr>
                <w:b/>
              </w:rPr>
              <w:t>Цели времени ответа</w:t>
            </w:r>
          </w:p>
          <w:p w14:paraId="3E7B59CA" w14:textId="77777777" w:rsidR="00CD09E8" w:rsidRPr="008A22AC" w:rsidRDefault="00CD09E8" w:rsidP="00CD09E8">
            <w:pPr>
              <w:rPr>
                <w:rFonts w:cstheme="minorHAnsi"/>
                <w:b/>
              </w:rPr>
            </w:pPr>
          </w:p>
        </w:tc>
        <w:tc>
          <w:tcPr>
            <w:tcW w:w="2698" w:type="dxa"/>
          </w:tcPr>
          <w:p w14:paraId="1D305E92" w14:textId="77777777" w:rsidR="00CD09E8" w:rsidRPr="008A22AC" w:rsidRDefault="00431986" w:rsidP="00CD09E8">
            <w:pPr>
              <w:rPr>
                <w:rFonts w:cstheme="minorHAnsi"/>
                <w:b/>
              </w:rPr>
            </w:pPr>
            <w:r>
              <w:rPr>
                <w:b/>
              </w:rPr>
              <w:t>Охват времени ответа</w:t>
            </w:r>
          </w:p>
        </w:tc>
      </w:tr>
      <w:tr w:rsidR="00CD09E8" w:rsidRPr="008A22AC" w14:paraId="3F2CD0CA" w14:textId="77777777" w:rsidTr="00CC771B">
        <w:tc>
          <w:tcPr>
            <w:tcW w:w="895" w:type="dxa"/>
          </w:tcPr>
          <w:p w14:paraId="5CB7583A" w14:textId="77777777" w:rsidR="00CD09E8" w:rsidRPr="008A22AC" w:rsidRDefault="00431986" w:rsidP="00CD09E8">
            <w:pPr>
              <w:rPr>
                <w:rFonts w:cstheme="minorHAnsi"/>
              </w:rPr>
            </w:pPr>
            <w:r>
              <w:t>1</w:t>
            </w:r>
          </w:p>
        </w:tc>
        <w:tc>
          <w:tcPr>
            <w:tcW w:w="4499" w:type="dxa"/>
          </w:tcPr>
          <w:p w14:paraId="00C07E1E" w14:textId="77777777" w:rsidR="00CD09E8" w:rsidRPr="008A22AC" w:rsidRDefault="00431986" w:rsidP="00CD09E8">
            <w:pPr>
              <w:rPr>
                <w:rFonts w:cstheme="minorHAnsi"/>
              </w:rPr>
            </w:pPr>
            <w:r>
              <w:t>Критическое влияние на бизнес или служба не работает: Критически важные бизнес-функции неработоспособны или критический интерфейс не работает. Это обычно относится к рабочей среде и указывает на невозможность доступа к службам, что приводит критически влияет на операции. В этих условиях требуется немедленное решение.</w:t>
            </w:r>
          </w:p>
        </w:tc>
        <w:tc>
          <w:tcPr>
            <w:tcW w:w="2698" w:type="dxa"/>
          </w:tcPr>
          <w:p w14:paraId="73B2FE97" w14:textId="77777777" w:rsidR="00CD09E8" w:rsidRPr="008A22AC" w:rsidRDefault="00431986" w:rsidP="00CD09E8">
            <w:pPr>
              <w:rPr>
                <w:rFonts w:cstheme="minorHAnsi"/>
              </w:rPr>
            </w:pPr>
            <w:r>
              <w:t>В течение 1 часа</w:t>
            </w:r>
          </w:p>
        </w:tc>
        <w:tc>
          <w:tcPr>
            <w:tcW w:w="2698" w:type="dxa"/>
          </w:tcPr>
          <w:p w14:paraId="34DDE1D1" w14:textId="77777777" w:rsidR="00CD09E8" w:rsidRPr="008A22AC" w:rsidRDefault="00431986" w:rsidP="00CD09E8">
            <w:pPr>
              <w:rPr>
                <w:rFonts w:cstheme="minorHAnsi"/>
              </w:rPr>
            </w:pPr>
            <w:r>
              <w:t>24/7</w:t>
            </w:r>
          </w:p>
        </w:tc>
      </w:tr>
      <w:tr w:rsidR="00CD09E8" w:rsidRPr="008A22AC" w14:paraId="4E43C065" w14:textId="77777777" w:rsidTr="00CC771B">
        <w:tc>
          <w:tcPr>
            <w:tcW w:w="895" w:type="dxa"/>
          </w:tcPr>
          <w:p w14:paraId="3552A243" w14:textId="77777777" w:rsidR="00CD09E8" w:rsidRPr="008A22AC" w:rsidRDefault="00431986" w:rsidP="00CD09E8">
            <w:pPr>
              <w:rPr>
                <w:rFonts w:cstheme="minorHAnsi"/>
              </w:rPr>
            </w:pPr>
            <w:r>
              <w:t>2</w:t>
            </w:r>
          </w:p>
        </w:tc>
        <w:tc>
          <w:tcPr>
            <w:tcW w:w="4499" w:type="dxa"/>
          </w:tcPr>
          <w:p w14:paraId="3E27A5C1" w14:textId="305EE8B8" w:rsidR="00CD09E8" w:rsidRPr="008A22AC" w:rsidRDefault="00431986" w:rsidP="00CD09E8">
            <w:pPr>
              <w:rPr>
                <w:rFonts w:cstheme="minorHAnsi"/>
              </w:rPr>
            </w:pPr>
            <w:r>
              <w:t>Значительное влияние на бизнес: Бизнес-функция службы или функция службы строго ограничены в использовании или заказчик находится под угрозой несоблюдения сроков.</w:t>
            </w:r>
          </w:p>
        </w:tc>
        <w:tc>
          <w:tcPr>
            <w:tcW w:w="2698" w:type="dxa"/>
          </w:tcPr>
          <w:p w14:paraId="120EA68C" w14:textId="77777777" w:rsidR="00CD09E8" w:rsidRPr="008A22AC" w:rsidRDefault="00431986" w:rsidP="00CD09E8">
            <w:pPr>
              <w:rPr>
                <w:rFonts w:cstheme="minorHAnsi"/>
              </w:rPr>
            </w:pPr>
            <w:r>
              <w:t>В течение 2 рабочих часов</w:t>
            </w:r>
          </w:p>
        </w:tc>
        <w:tc>
          <w:tcPr>
            <w:tcW w:w="2698" w:type="dxa"/>
          </w:tcPr>
          <w:p w14:paraId="5717FCA2" w14:textId="77777777" w:rsidR="00CD09E8" w:rsidRPr="008A22AC" w:rsidRDefault="00431986" w:rsidP="00CD09E8">
            <w:pPr>
              <w:rPr>
                <w:rFonts w:cstheme="minorHAnsi"/>
              </w:rPr>
            </w:pPr>
            <w:r>
              <w:t>Рабочее время Пн-Пт</w:t>
            </w:r>
          </w:p>
        </w:tc>
      </w:tr>
      <w:tr w:rsidR="00CD09E8" w:rsidRPr="008A22AC" w14:paraId="37318D43" w14:textId="77777777" w:rsidTr="00CC771B">
        <w:tc>
          <w:tcPr>
            <w:tcW w:w="895" w:type="dxa"/>
          </w:tcPr>
          <w:p w14:paraId="1838D1F6" w14:textId="77777777" w:rsidR="00CD09E8" w:rsidRPr="008A22AC" w:rsidRDefault="00431986" w:rsidP="00CD09E8">
            <w:pPr>
              <w:rPr>
                <w:rFonts w:cstheme="minorHAnsi"/>
              </w:rPr>
            </w:pPr>
            <w:r>
              <w:t>3</w:t>
            </w:r>
          </w:p>
        </w:tc>
        <w:tc>
          <w:tcPr>
            <w:tcW w:w="4499" w:type="dxa"/>
          </w:tcPr>
          <w:p w14:paraId="56DB9A17" w14:textId="77777777" w:rsidR="00CD09E8" w:rsidRPr="008A22AC" w:rsidRDefault="00431986" w:rsidP="00CD09E8">
            <w:pPr>
              <w:rPr>
                <w:rFonts w:cstheme="minorHAnsi"/>
              </w:rPr>
            </w:pPr>
            <w:r>
              <w:t>Незначительное влияние на бизнес: Указывает, что услуга или функциональность может быть использована и не оказывает критического влияния на операции.</w:t>
            </w:r>
          </w:p>
        </w:tc>
        <w:tc>
          <w:tcPr>
            <w:tcW w:w="2698" w:type="dxa"/>
          </w:tcPr>
          <w:p w14:paraId="41B34863" w14:textId="77777777" w:rsidR="00CD09E8" w:rsidRPr="008A22AC" w:rsidRDefault="00431986" w:rsidP="00CD09E8">
            <w:pPr>
              <w:rPr>
                <w:rFonts w:cstheme="minorHAnsi"/>
              </w:rPr>
            </w:pPr>
            <w:r>
              <w:t>В течение 4 рабочих часов</w:t>
            </w:r>
          </w:p>
        </w:tc>
        <w:tc>
          <w:tcPr>
            <w:tcW w:w="2698" w:type="dxa"/>
          </w:tcPr>
          <w:p w14:paraId="15ECC440" w14:textId="77777777" w:rsidR="00CD09E8" w:rsidRPr="008A22AC" w:rsidRDefault="00431986" w:rsidP="00CD09E8">
            <w:pPr>
              <w:rPr>
                <w:rFonts w:cstheme="minorHAnsi"/>
              </w:rPr>
            </w:pPr>
            <w:r>
              <w:t>рабочее время Пн-Пт</w:t>
            </w:r>
          </w:p>
        </w:tc>
      </w:tr>
      <w:tr w:rsidR="00CD09E8" w:rsidRPr="008A22AC" w14:paraId="0C9EEB38" w14:textId="77777777" w:rsidTr="00CC771B">
        <w:tc>
          <w:tcPr>
            <w:tcW w:w="895" w:type="dxa"/>
          </w:tcPr>
          <w:p w14:paraId="03051E28" w14:textId="77777777" w:rsidR="00CD09E8" w:rsidRPr="008A22AC" w:rsidRDefault="00431986" w:rsidP="00CD09E8">
            <w:pPr>
              <w:rPr>
                <w:rFonts w:cstheme="minorHAnsi"/>
              </w:rPr>
            </w:pPr>
            <w:r>
              <w:t>4</w:t>
            </w:r>
          </w:p>
        </w:tc>
        <w:tc>
          <w:tcPr>
            <w:tcW w:w="4499" w:type="dxa"/>
          </w:tcPr>
          <w:p w14:paraId="76629DB3" w14:textId="77777777" w:rsidR="00CD09E8" w:rsidRPr="008A22AC" w:rsidRDefault="00431986" w:rsidP="00CD09E8">
            <w:pPr>
              <w:rPr>
                <w:rFonts w:cstheme="minorHAnsi"/>
              </w:rPr>
            </w:pPr>
            <w:r>
              <w:t>Минимальное влияние на бизнес: Запрос или не технический запрос.</w:t>
            </w:r>
          </w:p>
        </w:tc>
        <w:tc>
          <w:tcPr>
            <w:tcW w:w="2698" w:type="dxa"/>
          </w:tcPr>
          <w:p w14:paraId="4048CC93" w14:textId="77777777" w:rsidR="00CD09E8" w:rsidRPr="008A22AC" w:rsidRDefault="00431986" w:rsidP="00CD09E8">
            <w:pPr>
              <w:rPr>
                <w:rFonts w:cstheme="minorHAnsi"/>
              </w:rPr>
            </w:pPr>
            <w:r>
              <w:t>В течение 1 рабочего дня</w:t>
            </w:r>
          </w:p>
        </w:tc>
        <w:tc>
          <w:tcPr>
            <w:tcW w:w="2698" w:type="dxa"/>
          </w:tcPr>
          <w:p w14:paraId="43DCE736" w14:textId="77777777" w:rsidR="00CD09E8" w:rsidRPr="008A22AC" w:rsidRDefault="00431986" w:rsidP="00CD09E8">
            <w:pPr>
              <w:rPr>
                <w:rFonts w:cstheme="minorHAnsi"/>
              </w:rPr>
            </w:pPr>
            <w:r>
              <w:t>рабочее время Пн-Пт</w:t>
            </w:r>
          </w:p>
        </w:tc>
      </w:tr>
    </w:tbl>
    <w:p w14:paraId="47B28CB3" w14:textId="10999AB4" w:rsidR="00CC771B" w:rsidRDefault="00CC771B" w:rsidP="00CD09E8">
      <w:pPr>
        <w:rPr>
          <w:rFonts w:cstheme="minorHAnsi"/>
          <w:b/>
        </w:rPr>
      </w:pPr>
    </w:p>
    <w:p w14:paraId="6FD09E7D" w14:textId="77777777" w:rsidR="006E6ECD" w:rsidRPr="008A22AC" w:rsidRDefault="006E6ECD" w:rsidP="00CD09E8">
      <w:pPr>
        <w:rPr>
          <w:rFonts w:cstheme="minorHAnsi"/>
          <w:b/>
        </w:rPr>
      </w:pPr>
      <w:bookmarkStart w:id="0" w:name="_GoBack"/>
      <w:bookmarkEnd w:id="0"/>
    </w:p>
    <w:p w14:paraId="27CC8233" w14:textId="4412A852" w:rsidR="00CD09E8" w:rsidRPr="008A22AC" w:rsidRDefault="00CD09E8" w:rsidP="00CD09E8">
      <w:pPr>
        <w:rPr>
          <w:rFonts w:cstheme="minorHAnsi"/>
          <w:b/>
        </w:rPr>
      </w:pPr>
      <w:r>
        <w:rPr>
          <w:b/>
        </w:rPr>
        <w:lastRenderedPageBreak/>
        <w:t xml:space="preserve">5.1. Доступ к данным клиента </w:t>
      </w:r>
    </w:p>
    <w:p w14:paraId="6BABA9D4" w14:textId="3E185D51" w:rsidR="00CD09E8" w:rsidRPr="008A22AC" w:rsidRDefault="00CD09E8" w:rsidP="00CD09E8">
      <w:pPr>
        <w:rPr>
          <w:rFonts w:cstheme="minorHAnsi"/>
        </w:rPr>
      </w:pPr>
      <w:r>
        <w:t>HCL сможет получить доступ к данным Клиента с целью диагностики проблем со службой и обеспечения сканирований приложения заказчика с помощью службы. HCL получит доступ к данным только, чтобы устранить дефекты или предоставить поддержку продуктов или служб HCL.</w:t>
      </w:r>
    </w:p>
    <w:p w14:paraId="339F18E9" w14:textId="77777777" w:rsidR="00CD09E8" w:rsidRPr="008A22AC" w:rsidRDefault="00CD09E8" w:rsidP="00CD09E8">
      <w:pPr>
        <w:rPr>
          <w:rFonts w:cstheme="minorHAnsi"/>
          <w:b/>
          <w:sz w:val="28"/>
        </w:rPr>
      </w:pPr>
      <w:r>
        <w:rPr>
          <w:b/>
          <w:sz w:val="28"/>
        </w:rPr>
        <w:t xml:space="preserve">6. Соглашение об уровне обслуживания </w:t>
      </w:r>
    </w:p>
    <w:p w14:paraId="798B75E3" w14:textId="68547F0F" w:rsidR="00CD09E8" w:rsidRPr="008A22AC" w:rsidRDefault="00CD09E8" w:rsidP="00CD09E8">
      <w:pPr>
        <w:rPr>
          <w:rFonts w:cstheme="minorHAnsi"/>
        </w:rPr>
      </w:pPr>
      <w:r>
        <w:t xml:space="preserve">HCL предоставляет приведенное ниже соглашение об уровне доступности ("SLA") для облачной службы. SLA не является гарантией и выступает единственным и исключительным средством защиты заказчика. Соглашение об уровне обслуживания доступно только заказчику и применяется только для использования в рабочих средах. </w:t>
      </w:r>
    </w:p>
    <w:p w14:paraId="76367E19" w14:textId="77777777" w:rsidR="00CD09E8" w:rsidRPr="008A22AC" w:rsidRDefault="00CD09E8" w:rsidP="00CD09E8">
      <w:pPr>
        <w:rPr>
          <w:rFonts w:cstheme="minorHAnsi"/>
          <w:b/>
        </w:rPr>
      </w:pPr>
      <w:r>
        <w:rPr>
          <w:b/>
        </w:rPr>
        <w:t xml:space="preserve">6.1. Компенсация недоступности </w:t>
      </w:r>
    </w:p>
    <w:p w14:paraId="23907002" w14:textId="33669F74" w:rsidR="00CD09E8" w:rsidRPr="008A22AC" w:rsidRDefault="00A63664" w:rsidP="00CD09E8">
      <w:pPr>
        <w:rPr>
          <w:rFonts w:cstheme="minorHAnsi"/>
        </w:rPr>
      </w:pPr>
      <w:r>
        <w:t xml:space="preserve">Заказчик должен зарегистрировать заявку "Серьезность 1" в службе технической поддержки HCL в течение 24 часов после того, как впервые узнал о критическом влиянии на бизнес и недоступности облачной службы. Заказчик должен по возможности содействовать HCL в диагностике и разрешении любой проблемы. </w:t>
      </w:r>
    </w:p>
    <w:p w14:paraId="7725B7FE" w14:textId="4D9D50BA" w:rsidR="00CD09E8" w:rsidRPr="008A22AC" w:rsidRDefault="00CD09E8" w:rsidP="00CD09E8">
      <w:pPr>
        <w:rPr>
          <w:rFonts w:cstheme="minorHAnsi"/>
        </w:rPr>
      </w:pPr>
      <w:r>
        <w:t xml:space="preserve">Претензию по заявке о несоблюдении SLA следует подавать в службу поддержки в течение 3 рабочих дней после окончания контрактного месяца. Компенсацией за действительную претензию по SLA будут начисления в счет будущего инвойса на облачную службу за период времени, в течение которого работа производственной системы для облачной службы была недоступна ("Время простоя"). Время простоя измеряется с момента, когда Клиент сообщает о событии, до момента восстановления облачной службы и не включает время, связанное с запланированным или объявленным перерывом в обслуживании; причины, не зависящие от HCL; проблемы с содержимым или технологией, разработками или инструкциями Заказчика либо сторонних поставщиков; не поддерживаемые конфигурации системы и платформы или другие ошибки заказчика; или инцидент безопасности либо тестирование безопасности заказчика. HCL задействует самую высокую применимую компенсацию на основе совокупной доступности облачной службы в течение каждого контрактного месяца, как показано в таблице ниже. Общая компенсация за любой контрактный месяц не может превышать 10 процентов от одной двенадцатой (1/12) годовой платы за облачную службу. </w:t>
      </w:r>
    </w:p>
    <w:p w14:paraId="7D107F1C" w14:textId="77777777" w:rsidR="00CD09E8" w:rsidRPr="008A22AC" w:rsidRDefault="00CD09E8" w:rsidP="00CD09E8">
      <w:pPr>
        <w:rPr>
          <w:rFonts w:cstheme="minorHAnsi"/>
          <w:b/>
        </w:rPr>
      </w:pPr>
      <w:r>
        <w:rPr>
          <w:b/>
        </w:rPr>
        <w:t xml:space="preserve">6.2. Уровни обслуживания </w:t>
      </w:r>
    </w:p>
    <w:p w14:paraId="7CE94E7A" w14:textId="77777777" w:rsidR="00CD09E8" w:rsidRPr="008A22AC" w:rsidRDefault="00CD09E8" w:rsidP="00CD09E8">
      <w:pPr>
        <w:rPr>
          <w:rFonts w:cstheme="minorHAnsi"/>
        </w:rPr>
      </w:pPr>
      <w:r>
        <w:t>Доступность облачной службы в течение контрактного месяца</w:t>
      </w:r>
    </w:p>
    <w:tbl>
      <w:tblPr>
        <w:tblStyle w:val="TableGrid"/>
        <w:tblW w:w="10705" w:type="dxa"/>
        <w:tblLook w:val="04A0" w:firstRow="1" w:lastRow="0" w:firstColumn="1" w:lastColumn="0" w:noHBand="0" w:noVBand="1"/>
      </w:tblPr>
      <w:tblGrid>
        <w:gridCol w:w="5305"/>
        <w:gridCol w:w="5400"/>
      </w:tblGrid>
      <w:tr w:rsidR="00884E80" w:rsidRPr="008A22AC" w14:paraId="2E6B5D95" w14:textId="77777777" w:rsidTr="004B0BF0">
        <w:tc>
          <w:tcPr>
            <w:tcW w:w="5305" w:type="dxa"/>
          </w:tcPr>
          <w:p w14:paraId="1D74A186" w14:textId="77777777" w:rsidR="00884E80" w:rsidRPr="008A22AC" w:rsidRDefault="00884E80" w:rsidP="00884E80">
            <w:pPr>
              <w:rPr>
                <w:rFonts w:cstheme="minorHAnsi"/>
                <w:b/>
              </w:rPr>
            </w:pPr>
            <w:r>
              <w:rPr>
                <w:b/>
              </w:rPr>
              <w:t xml:space="preserve">Доступность в течение контрактного месяца </w:t>
            </w:r>
          </w:p>
        </w:tc>
        <w:tc>
          <w:tcPr>
            <w:tcW w:w="5400" w:type="dxa"/>
          </w:tcPr>
          <w:p w14:paraId="1E654741" w14:textId="77777777" w:rsidR="00884E80" w:rsidRPr="008A22AC" w:rsidRDefault="004B0BF0" w:rsidP="00884E80">
            <w:pPr>
              <w:rPr>
                <w:rFonts w:cstheme="minorHAnsi"/>
                <w:b/>
              </w:rPr>
            </w:pPr>
            <w:r>
              <w:rPr>
                <w:b/>
              </w:rPr>
              <w:t>Компенсация (% от ежемесячной платы за подписку* за контрактный месяц, являющийся предметом претензии)</w:t>
            </w:r>
          </w:p>
        </w:tc>
      </w:tr>
      <w:tr w:rsidR="00884E80" w:rsidRPr="008A22AC" w14:paraId="626C6AAF" w14:textId="77777777" w:rsidTr="004B0BF0">
        <w:tc>
          <w:tcPr>
            <w:tcW w:w="5305" w:type="dxa"/>
          </w:tcPr>
          <w:p w14:paraId="67F1F637" w14:textId="77777777" w:rsidR="00884E80" w:rsidRPr="008A22AC" w:rsidRDefault="00884E80" w:rsidP="00884E80">
            <w:pPr>
              <w:rPr>
                <w:rFonts w:cstheme="minorHAnsi"/>
              </w:rPr>
            </w:pPr>
            <w:r>
              <w:t>Менее 99,9%</w:t>
            </w:r>
          </w:p>
        </w:tc>
        <w:tc>
          <w:tcPr>
            <w:tcW w:w="5400" w:type="dxa"/>
          </w:tcPr>
          <w:p w14:paraId="487F9B0F" w14:textId="77777777" w:rsidR="00884E80" w:rsidRPr="008A22AC" w:rsidRDefault="00884E80" w:rsidP="00884E80">
            <w:pPr>
              <w:rPr>
                <w:rFonts w:cstheme="minorHAnsi"/>
              </w:rPr>
            </w:pPr>
            <w:r>
              <w:t>2%</w:t>
            </w:r>
          </w:p>
        </w:tc>
      </w:tr>
      <w:tr w:rsidR="00884E80" w:rsidRPr="008A22AC" w14:paraId="4A4D1B9C" w14:textId="77777777" w:rsidTr="004B0BF0">
        <w:tc>
          <w:tcPr>
            <w:tcW w:w="5305" w:type="dxa"/>
          </w:tcPr>
          <w:p w14:paraId="7445AC6A" w14:textId="77777777" w:rsidR="00884E80" w:rsidRPr="008A22AC" w:rsidRDefault="00884E80" w:rsidP="00884E80">
            <w:pPr>
              <w:rPr>
                <w:rFonts w:cstheme="minorHAnsi"/>
              </w:rPr>
            </w:pPr>
            <w:r>
              <w:t>Менее 99,9%</w:t>
            </w:r>
          </w:p>
        </w:tc>
        <w:tc>
          <w:tcPr>
            <w:tcW w:w="5400" w:type="dxa"/>
          </w:tcPr>
          <w:p w14:paraId="2FF44D7A" w14:textId="77777777" w:rsidR="00884E80" w:rsidRPr="008A22AC" w:rsidRDefault="00884E80" w:rsidP="00CD09E8">
            <w:pPr>
              <w:rPr>
                <w:rFonts w:cstheme="minorHAnsi"/>
              </w:rPr>
            </w:pPr>
            <w:r>
              <w:t>5%</w:t>
            </w:r>
          </w:p>
        </w:tc>
      </w:tr>
      <w:tr w:rsidR="00884E80" w:rsidRPr="008A22AC" w14:paraId="697BAC9E" w14:textId="77777777" w:rsidTr="004B0BF0">
        <w:tc>
          <w:tcPr>
            <w:tcW w:w="5305" w:type="dxa"/>
          </w:tcPr>
          <w:p w14:paraId="0B2904CB" w14:textId="77777777" w:rsidR="00884E80" w:rsidRPr="008A22AC" w:rsidRDefault="00884E80" w:rsidP="00884E80">
            <w:pPr>
              <w:rPr>
                <w:rFonts w:cstheme="minorHAnsi"/>
              </w:rPr>
            </w:pPr>
            <w:r>
              <w:t>Менее 95%</w:t>
            </w:r>
          </w:p>
        </w:tc>
        <w:tc>
          <w:tcPr>
            <w:tcW w:w="5400" w:type="dxa"/>
          </w:tcPr>
          <w:p w14:paraId="3FA9A069" w14:textId="77777777" w:rsidR="00884E80" w:rsidRPr="008A22AC" w:rsidRDefault="00884E80" w:rsidP="00CD09E8">
            <w:pPr>
              <w:rPr>
                <w:rFonts w:cstheme="minorHAnsi"/>
              </w:rPr>
            </w:pPr>
            <w:r>
              <w:t>10%</w:t>
            </w:r>
          </w:p>
        </w:tc>
      </w:tr>
    </w:tbl>
    <w:p w14:paraId="489A0662" w14:textId="071C8965" w:rsidR="00CD09E8" w:rsidRDefault="00CD09E8" w:rsidP="00CD09E8">
      <w:pPr>
        <w:rPr>
          <w:rFonts w:cstheme="minorHAnsi"/>
          <w:sz w:val="16"/>
        </w:rPr>
      </w:pPr>
      <w:r>
        <w:rPr>
          <w:sz w:val="16"/>
        </w:rPr>
        <w:t>* Если облачная служба приобретена у делового партнера HCL, ежемесячная плата за подписку будет рассчитываться по текущей на тот момент прейскурантной цене облачной службы, действующей в течение контрактного месяца по претензии, со скидкой 50%. HCL сделает скидку доступной для заказчика. Доступность, выраженная в процентах, рассчитывается как: все минуты в контрактном месяце минус все минуты простоя в контрактном месяце разделить на все минуты в контрактном месяце.</w:t>
      </w:r>
    </w:p>
    <w:p w14:paraId="20C1F3F5" w14:textId="7496E681" w:rsidR="00FC77C1" w:rsidRPr="008A22AC" w:rsidRDefault="00FC77C1" w:rsidP="00FC77C1">
      <w:pPr>
        <w:rPr>
          <w:rFonts w:cstheme="minorHAnsi"/>
          <w:b/>
          <w:sz w:val="28"/>
        </w:rPr>
      </w:pPr>
      <w:r>
        <w:rPr>
          <w:b/>
          <w:sz w:val="28"/>
        </w:rPr>
        <w:t xml:space="preserve">7. Код предварительного просмотра технологии </w:t>
      </w:r>
    </w:p>
    <w:p w14:paraId="4BB8D213" w14:textId="77777777" w:rsidR="00FC77C1" w:rsidRPr="008A22AC" w:rsidRDefault="00FC77C1" w:rsidP="00FC77C1">
      <w:pPr>
        <w:rPr>
          <w:rFonts w:cstheme="minorHAnsi"/>
        </w:rPr>
      </w:pPr>
      <w:r>
        <w:t xml:space="preserve">Код предварительного просмотра технологии (TPC) не является частью программы, но может быть включен в нее или распространяться вместе с программой или ее обновлениями. TPC лицензируется на тех же условиях, что и программа, за исключением случаев, указанных ниже. TPC будет указан как таковой в файле уведомлений (или в обновленном файле уведомлений, сопровождающем обновления). Некоторые или все TPC могут быть недоступны в HCL или в продукте. Лицензиату разрешается использовать TPC только для внутреннего ознакомления. НЕЗАВИСИМО ОТ ДРУГИХ ЗАЯВЛЕНИЙ, СДЕЛАННЫХ В МОМЕНТ ПОКУПКИ ИЛИ ПЕРЕД НЕЙ, ЛИЦЕНЗИАТ НЕСЕТ ОТВЕТСТВЕННОСТЬ ЗА ОПРЕДЕЛЕНИЕ СООТВЕТСТВИЯ ПРОГРАММЫ И ЕЕ БЕЗОПАСНОСТИ ДЛЯ </w:t>
      </w:r>
      <w:r>
        <w:lastRenderedPageBreak/>
        <w:t xml:space="preserve">САЙТА ЛИЦЕНЗИАТА, ВЕБ-ПРИЛОЖЕНИЯ ИЛИ ТЕХНИЧЕСКОЙ СРЕДЫ. ЛИЦЕНЗИАТ ПОДТВЕРЖДАЕТ И ПРИНИМАЕТ ВСЕ РИСКИ, СВЯЗАННЫЕ С ИСПОЛЬЗОВАНИЕМ ПРОГРАММЫ. Файл уведомлений или соглашение о проверке концепции (POC) может ограничить период ознакомления. В этом случае в конце периода ознакомления лицензиат должен прекратить использовать и удалить TPC. HCL предоставляет TPC без обязательств поддержки и "КАК ЕСТЬ", БЕЗ КАКИХ-ЛИБО ГАРАНТИЙ, ЯВНЫХ ИЛИ ПОДРАЗУМЕВАЕМЫХ, ВКЛЮЧАЯ, БЕЗ ОГРАНИЧЕНИЙ, ГАРАНТИИ ПРАВА СОБСТВЕННОСТИ, ОТСУТСТВИЯ НАРУШЕНИЙ ЧЬИХ-ЛИБО ПРАВ ИЛИ НЕВМЕШАТЕЛЬСТВА И ЛЮБЫХ ПОДРАЗУМЕВАЕМЫХ ГАРАНТИЙ И УСЛОВИЙ ПРИГОДНОСТИ ДЛЯ ПРОДАЖИ И ПРИМЕНИМОСТИ ДЛЯ КОНКРЕТНЫХ ЦЕЛЕЙ. </w:t>
      </w:r>
    </w:p>
    <w:p w14:paraId="76674A9D" w14:textId="77777777" w:rsidR="00572397" w:rsidRDefault="00FC77C1" w:rsidP="00CD09E8">
      <w:pPr>
        <w:rPr>
          <w:rFonts w:cstheme="minorHAnsi"/>
          <w:sz w:val="16"/>
        </w:rPr>
      </w:pPr>
      <w:r>
        <w:t xml:space="preserve"> Лицензиат не может передавать TPC другой стороне, за исключением случаев передачи вместе с программой. TPC может содержать устройство отключения, которое будет препятствовать использованию по завершении ознакомительного периода. Лицензиат не будет изменять это устройство отключения или TPC. Лицензиат должен принять меры предосторожности, чтобы избежать потери данных, которая может возникнуть, если TPC уже не может использоваться. </w:t>
      </w:r>
    </w:p>
    <w:p w14:paraId="3E35802D" w14:textId="004BC8E9" w:rsidR="00CD09E8" w:rsidRPr="008A22AC" w:rsidRDefault="00FC77C1" w:rsidP="00CD09E8">
      <w:pPr>
        <w:rPr>
          <w:rFonts w:cstheme="minorHAnsi"/>
          <w:b/>
          <w:sz w:val="28"/>
        </w:rPr>
      </w:pPr>
      <w:r>
        <w:rPr>
          <w:b/>
          <w:sz w:val="28"/>
        </w:rPr>
        <w:t xml:space="preserve">8. Дополнительные условия HCL AppScan on Cloud </w:t>
      </w:r>
    </w:p>
    <w:p w14:paraId="25831C4F" w14:textId="5C15C9F7" w:rsidR="00CD09E8" w:rsidRPr="008A22AC" w:rsidRDefault="00572397" w:rsidP="00CD09E8">
      <w:pPr>
        <w:rPr>
          <w:rFonts w:cstheme="minorHAnsi"/>
          <w:b/>
        </w:rPr>
      </w:pPr>
      <w:r>
        <w:rPr>
          <w:b/>
        </w:rPr>
        <w:t>8.1. Сканирования защиты</w:t>
      </w:r>
    </w:p>
    <w:p w14:paraId="31E1D3FF" w14:textId="77777777" w:rsidR="00CD09E8" w:rsidRPr="008A22AC" w:rsidRDefault="00CD09E8" w:rsidP="00CD09E8">
      <w:pPr>
        <w:rPr>
          <w:rFonts w:cstheme="minorHAnsi"/>
        </w:rPr>
      </w:pPr>
      <w:r>
        <w:t xml:space="preserve">Сканирования безопасности могут не выявить все угрозы безопасности в приложении, а также они не разработаны или не предназначены для использования в опасных средах, требующих бесперебойной работы, включая, помимо прочего, навигацию воздушных судов, системы управления воздушным движением, системы оружия, системы жизнеобеспечения, ядерные установки или любые другие приложения, в которых невыявление угроз безопасности может привести к смерти, травме или повреждению имущества. Сканирования безопасности не гарантируют бесперебойную работу и отсутствие ошибок. </w:t>
      </w:r>
    </w:p>
    <w:p w14:paraId="3F8EBA8C" w14:textId="51D973EA" w:rsidR="00CD09E8" w:rsidRPr="008A22AC" w:rsidRDefault="00CD09E8" w:rsidP="00CD09E8">
      <w:pPr>
        <w:rPr>
          <w:rFonts w:cstheme="minorHAnsi"/>
        </w:rPr>
      </w:pPr>
      <w:r>
        <w:t xml:space="preserve">HCL AppScan on Cloud может быть использован, чтобы помочь заказчику выполнить обязательства по соответствию, которые могут основываться на законах, нормативных актах, стандартах или практических рекомендациях. Любые указания, предлагаемое использование или руководство, предоставляемые службой, не являются юридической, бухгалтерской или другой профессиональной консультацией, и заказчику рекомендуется получить собственную юридическую или другую экспертную консультацию. Заказчик несет единоличную ответственность за обеспечение того, чтобы заказчик и его действия, приложения и системы соответствовали всем применимым законам, нормативным актам, стандартам или практическим рекомендациям. Использование данной службы не гарантирует соблюдения каких-либо законов, нормативных актов, стандартов или практических рекомендаций. </w:t>
      </w:r>
    </w:p>
    <w:p w14:paraId="61976FB0" w14:textId="3C31D0DA" w:rsidR="00CD09E8" w:rsidRPr="008A22AC" w:rsidRDefault="00CD09E8" w:rsidP="00CD09E8">
      <w:pPr>
        <w:rPr>
          <w:rFonts w:cstheme="minorHAnsi"/>
        </w:rPr>
      </w:pPr>
      <w:r>
        <w:t xml:space="preserve">HCL AppScan on Cloud выполняет инвазивные и неинвазивные тесты на веб-сайте и в веб-приложении или мобильном приложении, которые клиент выбирает для сканирования. Некоторые законы запрещают любые несанкционированные попытки проникновения или доступа к компьютерным системам. Клиент уполномочивает HCL предоставлять службы, как описано в настоящем документе, и признает, что службы используют авторизованный доступ к компьютерным системам Клиента. HCL может раскрыть эту передачу полномочий третьей стороне, если сочтет это необходимым для выполнения служб. Тестирование влечет за собой определенные риски, в том числе приведенные ниже: </w:t>
      </w:r>
    </w:p>
    <w:p w14:paraId="09A4A32F" w14:textId="166C2D95" w:rsidR="00CD09E8" w:rsidRPr="008A22AC" w:rsidRDefault="00A63664" w:rsidP="00CD09E8">
      <w:pPr>
        <w:rPr>
          <w:rFonts w:cstheme="minorHAnsi"/>
        </w:rPr>
      </w:pPr>
      <w:r>
        <w:t xml:space="preserve">компьютерные системы Заказчика при выполнении тестируемых приложений могут зависать или выдавать ошибки, что может привести к временной недоступности системы или потере данных; </w:t>
      </w:r>
    </w:p>
    <w:p w14:paraId="0C14F94D" w14:textId="4F1D79A1" w:rsidR="00CD09E8" w:rsidRPr="008A22AC" w:rsidRDefault="00CD09E8" w:rsidP="009F30E6">
      <w:pPr>
        <w:pStyle w:val="ListParagraph"/>
        <w:numPr>
          <w:ilvl w:val="0"/>
          <w:numId w:val="1"/>
        </w:numPr>
        <w:rPr>
          <w:rFonts w:cstheme="minorHAnsi"/>
        </w:rPr>
      </w:pPr>
      <w:r>
        <w:t xml:space="preserve">производительность и пропускная способность систем заказчика, а также производительность и пропускная способность связанных маршрутизаторов и брандмауэров могут быть временно снижены во время тестирования; </w:t>
      </w:r>
    </w:p>
    <w:p w14:paraId="1BACAD6E" w14:textId="77777777" w:rsidR="00CD09E8" w:rsidRPr="008A22AC" w:rsidRDefault="00CD09E8" w:rsidP="009F30E6">
      <w:pPr>
        <w:pStyle w:val="ListParagraph"/>
        <w:numPr>
          <w:ilvl w:val="0"/>
          <w:numId w:val="1"/>
        </w:numPr>
        <w:rPr>
          <w:rFonts w:cstheme="minorHAnsi"/>
        </w:rPr>
      </w:pPr>
      <w:r>
        <w:t xml:space="preserve">может создаваться избыточное число сообщений журнала, что приводит к чрезмерному использованию дискового пространства файла журнала; </w:t>
      </w:r>
    </w:p>
    <w:p w14:paraId="4A86201D" w14:textId="77777777" w:rsidR="00CD09E8" w:rsidRPr="008A22AC" w:rsidRDefault="00CD09E8" w:rsidP="009F30E6">
      <w:pPr>
        <w:pStyle w:val="ListParagraph"/>
        <w:numPr>
          <w:ilvl w:val="0"/>
          <w:numId w:val="1"/>
        </w:numPr>
        <w:rPr>
          <w:rFonts w:cstheme="minorHAnsi"/>
        </w:rPr>
      </w:pPr>
      <w:r>
        <w:lastRenderedPageBreak/>
        <w:t xml:space="preserve">в результате обнаружения уязвимостей могут быть изменены или удалены данные; </w:t>
      </w:r>
    </w:p>
    <w:p w14:paraId="168AD97F" w14:textId="77777777" w:rsidR="00CD09E8" w:rsidRPr="008A22AC" w:rsidRDefault="00CD09E8" w:rsidP="009F30E6">
      <w:pPr>
        <w:pStyle w:val="ListParagraph"/>
        <w:numPr>
          <w:ilvl w:val="0"/>
          <w:numId w:val="1"/>
        </w:numPr>
        <w:rPr>
          <w:rFonts w:cstheme="minorHAnsi"/>
        </w:rPr>
      </w:pPr>
      <w:r>
        <w:t xml:space="preserve">оповещения могут инициироваться системами обнаружения вторжений; </w:t>
      </w:r>
    </w:p>
    <w:p w14:paraId="67C69242" w14:textId="5E25FF01" w:rsidR="00CD09E8" w:rsidRPr="008A22AC" w:rsidRDefault="00CD09E8" w:rsidP="009F30E6">
      <w:pPr>
        <w:pStyle w:val="ListParagraph"/>
        <w:numPr>
          <w:ilvl w:val="0"/>
          <w:numId w:val="1"/>
        </w:numPr>
        <w:rPr>
          <w:rFonts w:cstheme="minorHAnsi"/>
        </w:rPr>
      </w:pPr>
      <w:r>
        <w:t xml:space="preserve">электронные письма могут инициироваться функцией электронной почты тестируемого веб-приложения; </w:t>
      </w:r>
    </w:p>
    <w:p w14:paraId="47E5E5DD" w14:textId="38D000C9" w:rsidR="00CD09E8" w:rsidRPr="008A22AC" w:rsidRDefault="00CD09E8" w:rsidP="009F30E6">
      <w:pPr>
        <w:pStyle w:val="ListParagraph"/>
        <w:numPr>
          <w:ilvl w:val="0"/>
          <w:numId w:val="1"/>
        </w:numPr>
        <w:rPr>
          <w:rFonts w:cstheme="minorHAnsi"/>
        </w:rPr>
      </w:pPr>
      <w:r>
        <w:t>HCL AppScan on Cloud может перехватывать поток данных отслеживаемой сети с целью поиска событий.</w:t>
      </w:r>
    </w:p>
    <w:p w14:paraId="59B01ABD" w14:textId="72B4B1F6" w:rsidR="009F30E6" w:rsidRPr="008A22AC" w:rsidRDefault="009F30E6" w:rsidP="009F30E6">
      <w:pPr>
        <w:rPr>
          <w:rFonts w:cstheme="minorHAnsi"/>
        </w:rPr>
      </w:pPr>
      <w:r>
        <w:t xml:space="preserve">Любые права на соглашение об уровне обслуживания или средства защиты, предоставленные HCL и относящиеся к тестируемым веб-сайтам или приложениям, будут отменены при проведении любых операций тестирования. </w:t>
      </w:r>
    </w:p>
    <w:p w14:paraId="53FE9B20" w14:textId="068ADA5B" w:rsidR="009F30E6" w:rsidRPr="008A22AC" w:rsidRDefault="009F30E6" w:rsidP="009F30E6">
      <w:pPr>
        <w:rPr>
          <w:rFonts w:cstheme="minorHAnsi"/>
        </w:rPr>
      </w:pPr>
      <w:r>
        <w:t xml:space="preserve">В случае, если заказчик вводит аутентифицированные учетные данные тестируемого приложения для входа в службу, необходимо вводить такие учетные данные только для тестовых учетных записей, а не для пользователей в рабочей среде. Использование учетных данных пользователя в рабочей среде может привести к передаче личных данных через службу. </w:t>
      </w:r>
    </w:p>
    <w:p w14:paraId="69920BFD" w14:textId="191C1A17" w:rsidR="009F30E6" w:rsidRPr="008A22AC" w:rsidRDefault="009F30E6" w:rsidP="009F30E6">
      <w:pPr>
        <w:rPr>
          <w:rFonts w:cstheme="minorHAnsi"/>
        </w:rPr>
      </w:pPr>
      <w:r>
        <w:t xml:space="preserve">HCL AppScan on Cloud можно настроить для сканирования рабочих веб-приложений. Когда Заказчик устанавливает "рабочий" тип сканирования, служба сканирует, снижая риски, перечисленные выше; однако в некоторых ситуациях использование HCL AppScan on Cloud приводит к снижению производительности или нестабильности на протестированных рабочих сайтах и в инфраструктуре. HCL не гарантирует пригодность HCL AppScan on Cloud для сканирования рабочих сайтов. </w:t>
      </w:r>
    </w:p>
    <w:p w14:paraId="22E2E24C" w14:textId="27804F39" w:rsidR="009F30E6" w:rsidRPr="008A22AC" w:rsidRDefault="009F30E6" w:rsidP="009F30E6">
      <w:pPr>
        <w:rPr>
          <w:rFonts w:cstheme="minorHAnsi"/>
        </w:rPr>
      </w:pPr>
      <w:r>
        <w:t xml:space="preserve">ЗАКАЗЧИК ОБЯЗАН ОПРЕДЕЛИТЬ ПРИГОДНОСТЬ И БЕЗОПАСНОСТЬ СЛУЖБЫ  ДЛЯ СВОЕГО САЙТА, ВЕБ-ПРИЛОЖЕНИЯ, МОБИЛЬНОГО ПРИЛОЖЕНИЯ ИЛИ ТЕХНИЧЕСКОЙ СРЕДЫ. </w:t>
      </w:r>
    </w:p>
    <w:p w14:paraId="75103AF9" w14:textId="5C039DBB" w:rsidR="009F30E6" w:rsidRPr="008A22AC" w:rsidRDefault="009F30E6" w:rsidP="009F30E6">
      <w:pPr>
        <w:rPr>
          <w:rFonts w:cstheme="minorHAnsi"/>
        </w:rPr>
      </w:pPr>
      <w:r>
        <w:t xml:space="preserve">HCL AppScan on Cloud выявляет различные потенциальные проблемы системы безопасности и соответствия нормативным требованиям в мобильных приложениях, веб-приложениях и веб-службах. Эта служба не тестирует все уязвимости и риски нарушения нормативных требований, а также не является препятствием для взлома защиты. Угрозы безопасности, правила и стандарты постоянно меняются, и служба может не учитывать все эти изменения. Заказчик обязан самостоятельно обеспечить безопасность и соответствие нормативным требованиям для своих веб-приложений, систем и сотрудников, а также предпринять все действия по исправлению неполадок. Заказчик исключительно на свое усмотрение может использовать или не использовать любую информацию, предоставленную службой. </w:t>
      </w:r>
    </w:p>
    <w:p w14:paraId="0AB35999" w14:textId="1366892F" w:rsidR="009F30E6" w:rsidRPr="008A22AC" w:rsidRDefault="009F30E6" w:rsidP="009F30E6">
      <w:pPr>
        <w:rPr>
          <w:rFonts w:cstheme="minorHAnsi"/>
        </w:rPr>
      </w:pPr>
      <w:r>
        <w:t xml:space="preserve">Некоторые законы запрещают любые несанкционированные попытки проникновения или доступа к компьютерным системам. ЗАКАЗЧИК ОБЯЗАН ИМЕТЬ ПРАВО И ПОЛНОМОЧИЯ НА СКАНИРОВАНИЕ И НЕ ИСПОЛЬЗОВАТЬ СЛУЖБУ ДЛЯ СКАНИРОВАНИЯ ЛЮБЫХ ВЕБ-САЙТОВ И / ИЛИ ПРИЛОЖЕНИЙ, КРОМЕ СОБСТВЕННЫХ САЙТОВ И / ИЛИ ПРИЛОЖЕНИЙ. </w:t>
      </w:r>
    </w:p>
    <w:p w14:paraId="05790647" w14:textId="296097E6" w:rsidR="004D7ADA" w:rsidRPr="008A22AC" w:rsidRDefault="004D7ADA" w:rsidP="004D7ADA">
      <w:pPr>
        <w:rPr>
          <w:rFonts w:cstheme="minorHAnsi"/>
        </w:rPr>
      </w:pPr>
      <w:r>
        <w:t>Для ясности предполагается, что содержимое заказчика, описанное в CSA в разделе "Защита данных" также включает данные, которые могут стать доступными для HCL при тестировании приложений на возможность проникновения.</w:t>
      </w:r>
    </w:p>
    <w:p w14:paraId="76587B89" w14:textId="11C708EC" w:rsidR="009F30E6" w:rsidRPr="008A22AC" w:rsidRDefault="00572397" w:rsidP="009F30E6">
      <w:pPr>
        <w:rPr>
          <w:rFonts w:cstheme="minorHAnsi"/>
          <w:b/>
        </w:rPr>
      </w:pPr>
      <w:r>
        <w:rPr>
          <w:b/>
        </w:rPr>
        <w:t xml:space="preserve">8.2. Использование данных и файлы cookie </w:t>
      </w:r>
    </w:p>
    <w:p w14:paraId="3B881C26" w14:textId="70D1D2A5" w:rsidR="009F30E6" w:rsidRPr="008A22AC" w:rsidRDefault="009F30E6" w:rsidP="009F30E6">
      <w:pPr>
        <w:rPr>
          <w:rFonts w:cstheme="minorHAnsi"/>
        </w:rPr>
      </w:pPr>
      <w:r>
        <w:t xml:space="preserve">См. заявление о конфиденциальности HCL здесь: </w:t>
      </w:r>
      <w:hyperlink r:id="rId9" w:history="1">
        <w:r>
          <w:rPr>
            <w:rStyle w:val="Hyperlink"/>
          </w:rPr>
          <w:t>https://www.hcltech.com/privacy-statement</w:t>
        </w:r>
      </w:hyperlink>
      <w:r>
        <w:t xml:space="preserve"> </w:t>
      </w:r>
    </w:p>
    <w:p w14:paraId="6FACAE80" w14:textId="294144F5" w:rsidR="009F30E6" w:rsidRPr="008A22AC" w:rsidRDefault="00A63664" w:rsidP="009F30E6">
      <w:pPr>
        <w:rPr>
          <w:rFonts w:cstheme="minorHAnsi"/>
        </w:rPr>
      </w:pPr>
      <w:r>
        <w:t xml:space="preserve">Заказчик осведомлен и согласен с тем, что в рамках обычной работы и поддержки службы HCL AppScan on Cloud компания HCL может собирать личную информацию Заказчика (сотрудников и подрядчиков заказчика), связанную с использованием HCL AppScan on Cloud, с помощью отслеживания и других технологий. HCL собирает статистику использования и сведения об эффективности HCL AppScan on Cloud, чтобы улучшать пользовательский интерфейс и настраивать взаимодействия с заказчиком. Заказчик подтверждает, что он получит или получил разрешение обрабатывать собранную личную информацию внутри компании HCL, в других компаниях HCL и в компаниях субподрядчиков HCL независимо от их местонахождения в соответствии с действующим законодательством. HCL будет выполнять запросы сотрудников и подрядчиков заказчика на доступ, обновление, исправление или удаление собранной ими личной информации. </w:t>
      </w:r>
    </w:p>
    <w:p w14:paraId="4EAF5664" w14:textId="55D75C18" w:rsidR="009F30E6" w:rsidRPr="008A22AC" w:rsidRDefault="009F30E6" w:rsidP="009F30E6">
      <w:pPr>
        <w:rPr>
          <w:rFonts w:cstheme="minorHAnsi"/>
        </w:rPr>
      </w:pPr>
      <w:r>
        <w:lastRenderedPageBreak/>
        <w:t xml:space="preserve">В рамках HCL AppScan on Cloud, включающей действия по составлению отчетов, компания HCL будет готовить и хранить обезличенную и обобщенную информацию, собранную из HCL AppScan on Cloud (называемую "Данные безопасности"). Данные безопасности не будут идентифицировать заказчика или отдельных пользователей, за исключением случаев, указанных в настоящем документе. Заказчик также соглашается с тем, что компания HCL может использовать и / или копировать данные безопасности только в приведенных ниже целях: </w:t>
      </w:r>
    </w:p>
    <w:p w14:paraId="379217C4" w14:textId="77777777" w:rsidR="009F30E6" w:rsidRPr="008A22AC" w:rsidRDefault="009F30E6" w:rsidP="009F30E6">
      <w:pPr>
        <w:pStyle w:val="ListParagraph"/>
        <w:numPr>
          <w:ilvl w:val="0"/>
          <w:numId w:val="2"/>
        </w:numPr>
        <w:rPr>
          <w:rFonts w:cstheme="minorHAnsi"/>
        </w:rPr>
      </w:pPr>
      <w:r>
        <w:t xml:space="preserve">публикация, распространение данных безопасности (например, в компиляциях, анализе по кибербезопасности); </w:t>
      </w:r>
    </w:p>
    <w:p w14:paraId="7AA68115" w14:textId="77777777" w:rsidR="009F30E6" w:rsidRPr="008A22AC" w:rsidRDefault="009F30E6" w:rsidP="009F30E6">
      <w:pPr>
        <w:pStyle w:val="ListParagraph"/>
        <w:numPr>
          <w:ilvl w:val="0"/>
          <w:numId w:val="2"/>
        </w:numPr>
        <w:rPr>
          <w:rFonts w:cstheme="minorHAnsi"/>
        </w:rPr>
      </w:pPr>
      <w:r>
        <w:t xml:space="preserve">разработка или улучшение продуктов или услуг; </w:t>
      </w:r>
    </w:p>
    <w:p w14:paraId="60B2FC63" w14:textId="77777777" w:rsidR="009F30E6" w:rsidRPr="008A22AC" w:rsidRDefault="009F30E6" w:rsidP="009F30E6">
      <w:pPr>
        <w:pStyle w:val="ListParagraph"/>
        <w:numPr>
          <w:ilvl w:val="0"/>
          <w:numId w:val="2"/>
        </w:numPr>
        <w:rPr>
          <w:rFonts w:cstheme="minorHAnsi"/>
        </w:rPr>
      </w:pPr>
      <w:r>
        <w:t xml:space="preserve">проведение исследований внутри компании или с участием третьих сторон; и </w:t>
      </w:r>
    </w:p>
    <w:p w14:paraId="1E5AB7E5" w14:textId="1E206380" w:rsidR="00344CFD" w:rsidRPr="008A22AC" w:rsidRDefault="009F30E6" w:rsidP="000240FD">
      <w:pPr>
        <w:pStyle w:val="ListParagraph"/>
        <w:numPr>
          <w:ilvl w:val="0"/>
          <w:numId w:val="2"/>
        </w:numPr>
        <w:rPr>
          <w:rFonts w:cstheme="minorHAnsi"/>
        </w:rPr>
      </w:pPr>
      <w:r>
        <w:t xml:space="preserve">законное совместное использование подтвержденных сведений третьей стороны о преступнике. </w:t>
      </w:r>
    </w:p>
    <w:p w14:paraId="25BF5463" w14:textId="1BADEE20" w:rsidR="009F30E6" w:rsidRPr="008A22AC" w:rsidRDefault="00572397" w:rsidP="009F30E6">
      <w:pPr>
        <w:rPr>
          <w:rFonts w:cstheme="minorHAnsi"/>
          <w:b/>
        </w:rPr>
      </w:pPr>
      <w:r>
        <w:rPr>
          <w:b/>
        </w:rPr>
        <w:t xml:space="preserve">8.3. Включение программного обеспечения </w:t>
      </w:r>
    </w:p>
    <w:p w14:paraId="38152A37" w14:textId="1C26FDDC" w:rsidR="009F30E6" w:rsidRPr="008A22AC" w:rsidRDefault="009F30E6" w:rsidP="009F30E6">
      <w:pPr>
        <w:rPr>
          <w:rFonts w:cstheme="minorHAnsi"/>
        </w:rPr>
      </w:pPr>
      <w:r>
        <w:t>Чтобы облегчить использование облачной службы, возможно, потребуется включить загруженное программное обеспечение в системах заказчика. Заказчик может использовать включение программного обеспечение, приведенного ниже, исключительно в связи с использованием облачной службы. Включение программного обеспечения предоставляется заказчику на приведенных ниже условиях:</w:t>
      </w:r>
    </w:p>
    <w:tbl>
      <w:tblPr>
        <w:tblStyle w:val="TableGrid"/>
        <w:tblW w:w="0" w:type="auto"/>
        <w:tblLook w:val="04A0" w:firstRow="1" w:lastRow="0" w:firstColumn="1" w:lastColumn="0" w:noHBand="0" w:noVBand="1"/>
      </w:tblPr>
      <w:tblGrid>
        <w:gridCol w:w="4135"/>
        <w:gridCol w:w="4140"/>
      </w:tblGrid>
      <w:tr w:rsidR="00BA6472" w:rsidRPr="008A22AC" w14:paraId="33B214AC" w14:textId="77777777" w:rsidTr="00BA6472">
        <w:tc>
          <w:tcPr>
            <w:tcW w:w="4135" w:type="dxa"/>
          </w:tcPr>
          <w:p w14:paraId="1F014810" w14:textId="77777777" w:rsidR="00BA6472" w:rsidRPr="008A22AC" w:rsidRDefault="00BA6472" w:rsidP="009F30E6">
            <w:pPr>
              <w:rPr>
                <w:rFonts w:cstheme="minorHAnsi"/>
                <w:b/>
              </w:rPr>
            </w:pPr>
            <w:r>
              <w:rPr>
                <w:b/>
              </w:rPr>
              <w:t>Включение программного обеспечения</w:t>
            </w:r>
          </w:p>
        </w:tc>
        <w:tc>
          <w:tcPr>
            <w:tcW w:w="4140" w:type="dxa"/>
          </w:tcPr>
          <w:p w14:paraId="0F365D9D" w14:textId="77777777" w:rsidR="00BA6472" w:rsidRPr="008A22AC" w:rsidRDefault="00BA6472" w:rsidP="009F30E6">
            <w:pPr>
              <w:rPr>
                <w:rFonts w:cstheme="minorHAnsi"/>
                <w:b/>
              </w:rPr>
            </w:pPr>
            <w:r>
              <w:rPr>
                <w:b/>
              </w:rPr>
              <w:t>Применимые условия лицензии (если есть)</w:t>
            </w:r>
          </w:p>
        </w:tc>
      </w:tr>
      <w:tr w:rsidR="00BA6472" w:rsidRPr="008A22AC" w14:paraId="67A26397" w14:textId="77777777" w:rsidTr="00BA6472">
        <w:tc>
          <w:tcPr>
            <w:tcW w:w="4135" w:type="dxa"/>
          </w:tcPr>
          <w:p w14:paraId="51CFCCA5" w14:textId="74BBA44D" w:rsidR="00BA6472" w:rsidRPr="008A22AC" w:rsidRDefault="00BA6472" w:rsidP="009F30E6">
            <w:pPr>
              <w:rPr>
                <w:rFonts w:cstheme="minorHAnsi"/>
              </w:rPr>
            </w:pPr>
            <w:r>
              <w:t>Static Analyzer Client Utility (генератор IRX)</w:t>
            </w:r>
          </w:p>
        </w:tc>
        <w:tc>
          <w:tcPr>
            <w:tcW w:w="4140" w:type="dxa"/>
          </w:tcPr>
          <w:p w14:paraId="2BEABEB1" w14:textId="77777777" w:rsidR="00BA6472" w:rsidRPr="008A22AC" w:rsidRDefault="00BA6472" w:rsidP="009F30E6">
            <w:pPr>
              <w:rPr>
                <w:rFonts w:cstheme="minorHAnsi"/>
              </w:rPr>
            </w:pPr>
            <w:r>
              <w:t>Использовать как есть</w:t>
            </w:r>
          </w:p>
        </w:tc>
      </w:tr>
      <w:tr w:rsidR="0038326F" w:rsidRPr="008A22AC" w14:paraId="5441CB98" w14:textId="77777777" w:rsidTr="00BA6472">
        <w:tc>
          <w:tcPr>
            <w:tcW w:w="4135" w:type="dxa"/>
          </w:tcPr>
          <w:p w14:paraId="55DBB1AA" w14:textId="4FC81F10" w:rsidR="0038326F" w:rsidRPr="008A22AC" w:rsidRDefault="0038326F" w:rsidP="009F30E6">
            <w:pPr>
              <w:rPr>
                <w:rFonts w:cstheme="minorHAnsi"/>
              </w:rPr>
            </w:pPr>
            <w:r>
              <w:t>AppScan GO!</w:t>
            </w:r>
          </w:p>
        </w:tc>
        <w:tc>
          <w:tcPr>
            <w:tcW w:w="4140" w:type="dxa"/>
          </w:tcPr>
          <w:p w14:paraId="683BABFC" w14:textId="4B5C856D" w:rsidR="0038326F" w:rsidRPr="008A22AC" w:rsidRDefault="0038326F" w:rsidP="009F30E6">
            <w:pPr>
              <w:rPr>
                <w:rFonts w:cstheme="minorHAnsi"/>
              </w:rPr>
            </w:pPr>
            <w:r>
              <w:t>Использовать как есть</w:t>
            </w:r>
          </w:p>
        </w:tc>
      </w:tr>
      <w:tr w:rsidR="00BA6472" w:rsidRPr="008A22AC" w14:paraId="2BAEB369" w14:textId="77777777" w:rsidTr="00BA6472">
        <w:tc>
          <w:tcPr>
            <w:tcW w:w="4135" w:type="dxa"/>
          </w:tcPr>
          <w:p w14:paraId="5BD38925" w14:textId="77777777" w:rsidR="00BA6472" w:rsidRPr="008A22AC" w:rsidRDefault="00BA6472" w:rsidP="009F30E6">
            <w:pPr>
              <w:rPr>
                <w:rFonts w:cstheme="minorHAnsi"/>
              </w:rPr>
            </w:pPr>
            <w:r>
              <w:t>AppScan Presence</w:t>
            </w:r>
          </w:p>
        </w:tc>
        <w:tc>
          <w:tcPr>
            <w:tcW w:w="4140" w:type="dxa"/>
          </w:tcPr>
          <w:p w14:paraId="5D4142DB" w14:textId="77777777" w:rsidR="00BA6472" w:rsidRPr="008A22AC" w:rsidRDefault="00BA6472" w:rsidP="009F30E6">
            <w:pPr>
              <w:rPr>
                <w:rFonts w:cstheme="minorHAnsi"/>
              </w:rPr>
            </w:pPr>
            <w:r>
              <w:t>Использовать как есть</w:t>
            </w:r>
          </w:p>
        </w:tc>
      </w:tr>
      <w:tr w:rsidR="00976064" w:rsidRPr="008A22AC" w14:paraId="1E126797" w14:textId="77777777" w:rsidTr="00BA6472">
        <w:tc>
          <w:tcPr>
            <w:tcW w:w="4135" w:type="dxa"/>
          </w:tcPr>
          <w:p w14:paraId="4C2C5289" w14:textId="6B5A8268" w:rsidR="00976064" w:rsidRPr="008A22AC" w:rsidRDefault="0038326F" w:rsidP="009F30E6">
            <w:pPr>
              <w:rPr>
                <w:rFonts w:cstheme="minorHAnsi"/>
              </w:rPr>
            </w:pPr>
            <w:r>
              <w:t>AppScan IAST Agent</w:t>
            </w:r>
          </w:p>
        </w:tc>
        <w:tc>
          <w:tcPr>
            <w:tcW w:w="4140" w:type="dxa"/>
          </w:tcPr>
          <w:p w14:paraId="5B671EB8" w14:textId="4B6C7780" w:rsidR="00976064" w:rsidRPr="008A22AC" w:rsidRDefault="0038326F" w:rsidP="009F30E6">
            <w:pPr>
              <w:rPr>
                <w:rFonts w:cstheme="minorHAnsi"/>
              </w:rPr>
            </w:pPr>
            <w:r>
              <w:t>Использовать как есть</w:t>
            </w:r>
          </w:p>
        </w:tc>
      </w:tr>
    </w:tbl>
    <w:p w14:paraId="6825938A" w14:textId="7F796AA2" w:rsidR="009F30E6" w:rsidRPr="008A22AC" w:rsidRDefault="009F30E6" w:rsidP="009F30E6">
      <w:pPr>
        <w:rPr>
          <w:rFonts w:cstheme="minorHAnsi"/>
        </w:rPr>
      </w:pPr>
    </w:p>
    <w:p w14:paraId="6FFCCF58" w14:textId="77777777" w:rsidR="00C76473" w:rsidRDefault="00C76473" w:rsidP="009F30E6"/>
    <w:sectPr w:rsidR="00C76473" w:rsidSect="00AE12F3">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F1B3F5" w16cex:dateUtc="2020-03-09T02:32:25.391Z"/>
  <w16cex:commentExtensible w16cex:durableId="254E6282" w16cex:dateUtc="2020-03-09T02:32:50.069Z"/>
  <w16cex:commentExtensible w16cex:durableId="33C0D058" w16cex:dateUtc="2020-03-09T02:34:11.077Z"/>
  <w16cex:commentExtensible w16cex:durableId="08549F82" w16cex:dateUtc="2020-03-09T02:37:02.39Z"/>
  <w16cex:commentExtensible w16cex:durableId="57115443" w16cex:dateUtc="2020-03-09T02:39:47.152Z"/>
  <w16cex:commentExtensible w16cex:durableId="386EC0E6" w16cex:dateUtc="2020-03-09T02:40:25.84Z"/>
  <w16cex:commentExtensible w16cex:durableId="3126D3B9" w16cex:dateUtc="2020-03-09T02:48:02.535Z"/>
  <w16cex:commentExtensible w16cex:durableId="4E13A09E" w16cex:dateUtc="2020-03-09T02:51:31.803Z"/>
  <w16cex:commentExtensible w16cex:durableId="1D350D84" w16cex:dateUtc="2020-03-09T02:53:38.216Z"/>
  <w16cex:commentExtensible w16cex:durableId="52B301EB" w16cex:dateUtc="2020-03-09T02:54:20.9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A7D31"/>
    <w:multiLevelType w:val="hybridMultilevel"/>
    <w:tmpl w:val="8C98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F80C6A"/>
    <w:multiLevelType w:val="hybridMultilevel"/>
    <w:tmpl w:val="E59C2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BB5B9D"/>
    <w:multiLevelType w:val="hybridMultilevel"/>
    <w:tmpl w:val="E29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DF2CD7"/>
    <w:multiLevelType w:val="hybridMultilevel"/>
    <w:tmpl w:val="E892E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FE4A5E"/>
    <w:multiLevelType w:val="hybridMultilevel"/>
    <w:tmpl w:val="23B4F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A6C17AA"/>
    <w:multiLevelType w:val="hybridMultilevel"/>
    <w:tmpl w:val="3240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C5334"/>
    <w:multiLevelType w:val="hybridMultilevel"/>
    <w:tmpl w:val="5942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5BE"/>
    <w:rsid w:val="000060A1"/>
    <w:rsid w:val="000551FF"/>
    <w:rsid w:val="0008248F"/>
    <w:rsid w:val="000E5817"/>
    <w:rsid w:val="000F03BB"/>
    <w:rsid w:val="00114F45"/>
    <w:rsid w:val="001327F8"/>
    <w:rsid w:val="00162A21"/>
    <w:rsid w:val="001939FA"/>
    <w:rsid w:val="001A4082"/>
    <w:rsid w:val="001A485E"/>
    <w:rsid w:val="001D084C"/>
    <w:rsid w:val="001E32FF"/>
    <w:rsid w:val="00212002"/>
    <w:rsid w:val="002368D6"/>
    <w:rsid w:val="00241EC6"/>
    <w:rsid w:val="00251398"/>
    <w:rsid w:val="002709B7"/>
    <w:rsid w:val="002878A5"/>
    <w:rsid w:val="002C38F9"/>
    <w:rsid w:val="002C5160"/>
    <w:rsid w:val="002D11E5"/>
    <w:rsid w:val="002E5711"/>
    <w:rsid w:val="00301B58"/>
    <w:rsid w:val="003170C2"/>
    <w:rsid w:val="00323E5C"/>
    <w:rsid w:val="00342010"/>
    <w:rsid w:val="00344CFD"/>
    <w:rsid w:val="0036751F"/>
    <w:rsid w:val="003775E3"/>
    <w:rsid w:val="0038326F"/>
    <w:rsid w:val="00391E72"/>
    <w:rsid w:val="003A0880"/>
    <w:rsid w:val="003A4112"/>
    <w:rsid w:val="003C28B8"/>
    <w:rsid w:val="003D4A5A"/>
    <w:rsid w:val="003E1491"/>
    <w:rsid w:val="004041E6"/>
    <w:rsid w:val="00431986"/>
    <w:rsid w:val="004342A3"/>
    <w:rsid w:val="004557EF"/>
    <w:rsid w:val="004B0BF0"/>
    <w:rsid w:val="004B1CC4"/>
    <w:rsid w:val="004D7ADA"/>
    <w:rsid w:val="004F2291"/>
    <w:rsid w:val="005263D0"/>
    <w:rsid w:val="00540E1E"/>
    <w:rsid w:val="00571A8A"/>
    <w:rsid w:val="00572397"/>
    <w:rsid w:val="005D11B5"/>
    <w:rsid w:val="005D75F6"/>
    <w:rsid w:val="005F4095"/>
    <w:rsid w:val="00620C24"/>
    <w:rsid w:val="00622FE9"/>
    <w:rsid w:val="00634323"/>
    <w:rsid w:val="006627F4"/>
    <w:rsid w:val="006A7A11"/>
    <w:rsid w:val="006C19EB"/>
    <w:rsid w:val="006E6ECD"/>
    <w:rsid w:val="00711467"/>
    <w:rsid w:val="00714A8B"/>
    <w:rsid w:val="00726147"/>
    <w:rsid w:val="00726A39"/>
    <w:rsid w:val="00760DAF"/>
    <w:rsid w:val="00772A24"/>
    <w:rsid w:val="007B68B4"/>
    <w:rsid w:val="007C6E22"/>
    <w:rsid w:val="007E6AA1"/>
    <w:rsid w:val="0080452D"/>
    <w:rsid w:val="00884E80"/>
    <w:rsid w:val="00896A2B"/>
    <w:rsid w:val="008A22AC"/>
    <w:rsid w:val="0091612D"/>
    <w:rsid w:val="00944EEC"/>
    <w:rsid w:val="00945DF4"/>
    <w:rsid w:val="00971206"/>
    <w:rsid w:val="00976064"/>
    <w:rsid w:val="009873CA"/>
    <w:rsid w:val="009D3736"/>
    <w:rsid w:val="009F30E6"/>
    <w:rsid w:val="00A60FA1"/>
    <w:rsid w:val="00A63664"/>
    <w:rsid w:val="00AE12F3"/>
    <w:rsid w:val="00BA6472"/>
    <w:rsid w:val="00C10959"/>
    <w:rsid w:val="00C26144"/>
    <w:rsid w:val="00C4150D"/>
    <w:rsid w:val="00C64C03"/>
    <w:rsid w:val="00C76473"/>
    <w:rsid w:val="00C8428B"/>
    <w:rsid w:val="00CA4721"/>
    <w:rsid w:val="00CC771B"/>
    <w:rsid w:val="00CD09E6"/>
    <w:rsid w:val="00CD09E8"/>
    <w:rsid w:val="00D1087C"/>
    <w:rsid w:val="00D32937"/>
    <w:rsid w:val="00D70E9A"/>
    <w:rsid w:val="00D73CCA"/>
    <w:rsid w:val="00DB68E1"/>
    <w:rsid w:val="00E14B4A"/>
    <w:rsid w:val="00E20421"/>
    <w:rsid w:val="00E215BD"/>
    <w:rsid w:val="00E2779C"/>
    <w:rsid w:val="00E565DE"/>
    <w:rsid w:val="00E8223B"/>
    <w:rsid w:val="00F375BE"/>
    <w:rsid w:val="00F50BCD"/>
    <w:rsid w:val="00FA4E46"/>
    <w:rsid w:val="00FB1060"/>
    <w:rsid w:val="00FB74A6"/>
    <w:rsid w:val="00FC77C1"/>
    <w:rsid w:val="00FD3B1F"/>
    <w:rsid w:val="37B8E6F6"/>
    <w:rsid w:val="3B4FBCE2"/>
    <w:rsid w:val="79E6FFB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90A4"/>
  <w15:chartTrackingRefBased/>
  <w15:docId w15:val="{9B7EC7B4-068F-46AB-AA09-C6C239F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9E8"/>
    <w:rPr>
      <w:color w:val="0563C1" w:themeColor="hyperlink"/>
      <w:u w:val="single"/>
    </w:rPr>
  </w:style>
  <w:style w:type="character" w:styleId="Mention">
    <w:name w:val="Mention"/>
    <w:basedOn w:val="DefaultParagraphFont"/>
    <w:uiPriority w:val="99"/>
    <w:semiHidden/>
    <w:unhideWhenUsed/>
    <w:rsid w:val="00CD09E8"/>
    <w:rPr>
      <w:color w:val="2B579A"/>
      <w:shd w:val="clear" w:color="auto" w:fill="E6E6E6"/>
    </w:rPr>
  </w:style>
  <w:style w:type="table" w:styleId="TableGrid">
    <w:name w:val="Table Grid"/>
    <w:basedOn w:val="TableNormal"/>
    <w:uiPriority w:val="39"/>
    <w:rsid w:val="00CD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30E6"/>
    <w:pPr>
      <w:ind w:left="720"/>
      <w:contextualSpacing/>
    </w:pPr>
  </w:style>
  <w:style w:type="character" w:styleId="CommentReference">
    <w:name w:val="annotation reference"/>
    <w:basedOn w:val="DefaultParagraphFont"/>
    <w:uiPriority w:val="99"/>
    <w:semiHidden/>
    <w:unhideWhenUsed/>
    <w:rsid w:val="001E32FF"/>
    <w:rPr>
      <w:sz w:val="16"/>
      <w:szCs w:val="16"/>
    </w:rPr>
  </w:style>
  <w:style w:type="paragraph" w:styleId="CommentText">
    <w:name w:val="annotation text"/>
    <w:basedOn w:val="Normal"/>
    <w:link w:val="CommentTextChar"/>
    <w:uiPriority w:val="99"/>
    <w:semiHidden/>
    <w:unhideWhenUsed/>
    <w:rsid w:val="001E32FF"/>
    <w:pPr>
      <w:spacing w:line="240" w:lineRule="auto"/>
    </w:pPr>
    <w:rPr>
      <w:sz w:val="20"/>
      <w:szCs w:val="20"/>
    </w:rPr>
  </w:style>
  <w:style w:type="character" w:customStyle="1" w:styleId="CommentTextChar">
    <w:name w:val="Comment Text Char"/>
    <w:basedOn w:val="DefaultParagraphFont"/>
    <w:link w:val="CommentText"/>
    <w:uiPriority w:val="99"/>
    <w:semiHidden/>
    <w:rsid w:val="001E32FF"/>
    <w:rPr>
      <w:sz w:val="20"/>
      <w:szCs w:val="20"/>
    </w:rPr>
  </w:style>
  <w:style w:type="paragraph" w:styleId="CommentSubject">
    <w:name w:val="annotation subject"/>
    <w:basedOn w:val="CommentText"/>
    <w:next w:val="CommentText"/>
    <w:link w:val="CommentSubjectChar"/>
    <w:uiPriority w:val="99"/>
    <w:semiHidden/>
    <w:unhideWhenUsed/>
    <w:rsid w:val="001E32FF"/>
    <w:rPr>
      <w:b/>
      <w:bCs/>
    </w:rPr>
  </w:style>
  <w:style w:type="character" w:customStyle="1" w:styleId="CommentSubjectChar">
    <w:name w:val="Comment Subject Char"/>
    <w:basedOn w:val="CommentTextChar"/>
    <w:link w:val="CommentSubject"/>
    <w:uiPriority w:val="99"/>
    <w:semiHidden/>
    <w:rsid w:val="001E32FF"/>
    <w:rPr>
      <w:b/>
      <w:bCs/>
      <w:sz w:val="20"/>
      <w:szCs w:val="20"/>
    </w:rPr>
  </w:style>
  <w:style w:type="paragraph" w:styleId="BalloonText">
    <w:name w:val="Balloon Text"/>
    <w:basedOn w:val="Normal"/>
    <w:link w:val="BalloonTextChar"/>
    <w:uiPriority w:val="99"/>
    <w:semiHidden/>
    <w:unhideWhenUsed/>
    <w:rsid w:val="001E3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2FF"/>
    <w:rPr>
      <w:rFonts w:ascii="Segoe UI" w:hAnsi="Segoe UI" w:cs="Segoe UI"/>
      <w:sz w:val="18"/>
      <w:szCs w:val="18"/>
    </w:rPr>
  </w:style>
  <w:style w:type="character" w:styleId="FollowedHyperlink">
    <w:name w:val="FollowedHyperlink"/>
    <w:basedOn w:val="DefaultParagraphFont"/>
    <w:uiPriority w:val="99"/>
    <w:semiHidden/>
    <w:unhideWhenUsed/>
    <w:rsid w:val="00AE1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9642325">
      <w:bodyDiv w:val="1"/>
      <w:marLeft w:val="0"/>
      <w:marRight w:val="0"/>
      <w:marTop w:val="0"/>
      <w:marBottom w:val="0"/>
      <w:divBdr>
        <w:top w:val="none" w:sz="0" w:space="0" w:color="auto"/>
        <w:left w:val="none" w:sz="0" w:space="0" w:color="auto"/>
        <w:bottom w:val="none" w:sz="0" w:space="0" w:color="auto"/>
        <w:right w:val="none" w:sz="0" w:space="0" w:color="auto"/>
      </w:divBdr>
      <w:divsChild>
        <w:div w:id="1403216398">
          <w:marLeft w:val="0"/>
          <w:marRight w:val="0"/>
          <w:marTop w:val="0"/>
          <w:marBottom w:val="0"/>
          <w:divBdr>
            <w:top w:val="none" w:sz="0" w:space="0" w:color="auto"/>
            <w:left w:val="none" w:sz="0" w:space="0" w:color="auto"/>
            <w:bottom w:val="none" w:sz="0" w:space="0" w:color="auto"/>
            <w:right w:val="none" w:sz="0" w:space="0" w:color="auto"/>
          </w:divBdr>
          <w:divsChild>
            <w:div w:id="1731228519">
              <w:marLeft w:val="0"/>
              <w:marRight w:val="0"/>
              <w:marTop w:val="0"/>
              <w:marBottom w:val="1200"/>
              <w:divBdr>
                <w:top w:val="none" w:sz="0" w:space="0" w:color="auto"/>
                <w:left w:val="none" w:sz="0" w:space="0" w:color="auto"/>
                <w:bottom w:val="none" w:sz="0" w:space="0" w:color="auto"/>
                <w:right w:val="none" w:sz="0" w:space="0" w:color="auto"/>
              </w:divBdr>
              <w:divsChild>
                <w:div w:id="789133635">
                  <w:marLeft w:val="-225"/>
                  <w:marRight w:val="-225"/>
                  <w:marTop w:val="0"/>
                  <w:marBottom w:val="0"/>
                  <w:divBdr>
                    <w:top w:val="none" w:sz="0" w:space="0" w:color="auto"/>
                    <w:left w:val="none" w:sz="0" w:space="0" w:color="auto"/>
                    <w:bottom w:val="none" w:sz="0" w:space="0" w:color="auto"/>
                    <w:right w:val="none" w:sz="0" w:space="0" w:color="auto"/>
                  </w:divBdr>
                  <w:divsChild>
                    <w:div w:id="1664897775">
                      <w:marLeft w:val="0"/>
                      <w:marRight w:val="0"/>
                      <w:marTop w:val="0"/>
                      <w:marBottom w:val="0"/>
                      <w:divBdr>
                        <w:top w:val="none" w:sz="0" w:space="0" w:color="auto"/>
                        <w:left w:val="none" w:sz="0" w:space="0" w:color="auto"/>
                        <w:bottom w:val="none" w:sz="0" w:space="0" w:color="auto"/>
                        <w:right w:val="none" w:sz="0" w:space="0" w:color="auto"/>
                      </w:divBdr>
                      <w:divsChild>
                        <w:div w:id="479929162">
                          <w:marLeft w:val="0"/>
                          <w:marRight w:val="0"/>
                          <w:marTop w:val="0"/>
                          <w:marBottom w:val="0"/>
                          <w:divBdr>
                            <w:top w:val="none" w:sz="0" w:space="0" w:color="auto"/>
                            <w:left w:val="none" w:sz="0" w:space="0" w:color="auto"/>
                            <w:bottom w:val="none" w:sz="0" w:space="0" w:color="auto"/>
                            <w:right w:val="none" w:sz="0" w:space="0" w:color="auto"/>
                          </w:divBdr>
                          <w:divsChild>
                            <w:div w:id="4767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cltechsw.com/wps/portal/resources/master-agreeme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cltech.com/privacy-statement" TargetMode="External"/><Relationship Id="Rb4dfc9b2cc2b44a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60EBD7E57D3A419D81E1A5917DEC10" ma:contentTypeVersion="11" ma:contentTypeDescription="Create a new document." ma:contentTypeScope="" ma:versionID="748c7c43632999f3eaccfdb1ad123454">
  <xsd:schema xmlns:xsd="http://www.w3.org/2001/XMLSchema" xmlns:xs="http://www.w3.org/2001/XMLSchema" xmlns:p="http://schemas.microsoft.com/office/2006/metadata/properties" xmlns:ns2="5370c400-67c2-447e-811b-72610b224917" xmlns:ns3="4469d9fd-0c6c-4008-b444-27d40c3352a3" targetNamespace="http://schemas.microsoft.com/office/2006/metadata/properties" ma:root="true" ma:fieldsID="da226d12cb062bc5a439b97b6fac5eb6" ns2:_="" ns3:_="">
    <xsd:import namespace="5370c400-67c2-447e-811b-72610b224917"/>
    <xsd:import namespace="4469d9fd-0c6c-4008-b444-27d40c335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0c400-67c2-447e-811b-72610b224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9d9fd-0c6c-4008-b444-27d40c3352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A5DA3-0470-44B7-AB48-BF97DACE3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0c400-67c2-447e-811b-72610b224917"/>
    <ds:schemaRef ds:uri="4469d9fd-0c6c-4008-b444-27d40c335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91693-6D3C-42A3-9149-A1101F561C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A90922-B36F-4EE1-82C8-BE1685C8F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3707</Words>
  <Characters>21130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kathleen.brady@PROD.HCLPNP.COM</dc:creator>
  <cp:keywords/>
  <dc:description/>
  <cp:lastModifiedBy>Hamad Hamad</cp:lastModifiedBy>
  <cp:revision>4</cp:revision>
  <cp:lastPrinted>2020-02-04T13:50:00Z</cp:lastPrinted>
  <dcterms:created xsi:type="dcterms:W3CDTF">2020-03-13T13:41:00Z</dcterms:created>
  <dcterms:modified xsi:type="dcterms:W3CDTF">2020-04-07T18:54:00Z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0x0101001B60EBD7E57D3A419D81E1A5917DEC10</vt:lpwstr>
  </property>
  <property fmtid="{D5CDD505-2E9C-101B-9397-08002B2CF9AE}" pid="3" name="TitusGUID">
    <vt:lpwstr>aa6f3ff6-faf7-4409-82b8-2f916adcf94d</vt:lpwstr>
  </property>
  <property fmtid="{D5CDD505-2E9C-101B-9397-08002B2CF9AE}" pid="4" name="HCL_Cla5s_D6">
    <vt:lpwstr>False</vt:lpwstr>
  </property>
  <property fmtid="{D5CDD505-2E9C-101B-9397-08002B2CF9AE}" pid="5" name="HCLClassification">
    <vt:lpwstr>HCL_Cla5s_1nt3rnal</vt:lpwstr>
  </property>
</Properties>
</file>